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宜城市楚江建筑材料有限公司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宜城市楚江建筑材料有限公司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宜城市雷河镇华光路9号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441400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宜城市碧水云天179－38号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441400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张寒</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0710－3356858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张士兴</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胡尤强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陶粒的销售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2021-03-18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bCs w:val="0"/>
                <w:color w:val="000000" w:themeColor="text1"/>
                <w:kern w:val="2"/>
                <w:sz w:val="20"/>
                <w:szCs w:val="20"/>
                <w:lang w:val="en-US" w:eastAsia="zh-CN" w:bidi="ar-SA"/>
              </w:rPr>
            </w:pPr>
            <w:r>
              <w:rPr>
                <w:rFonts w:hint="eastAsia" w:ascii="宋体" w:hAnsi="宋体" w:eastAsia="宋体" w:cs="Times New Roman"/>
                <w:b/>
                <w:bCs w:val="0"/>
                <w:color w:val="000000"/>
                <w:sz w:val="20"/>
                <w:szCs w:val="20"/>
                <w:lang w:val="en-US" w:eastAsia="zh-CN"/>
              </w:rPr>
              <w:t>高管层</w:t>
            </w:r>
          </w:p>
        </w:tc>
        <w:tc>
          <w:tcPr>
            <w:tcW w:w="6804" w:type="dxa"/>
            <w:vAlign w:val="top"/>
          </w:tcPr>
          <w:p>
            <w:pPr>
              <w:spacing w:line="240" w:lineRule="auto"/>
              <w:jc w:val="left"/>
              <w:rPr>
                <w:rFonts w:ascii="宋体" w:hAnsi="宋体" w:eastAsia="宋体" w:cs="Times New Roman"/>
                <w:b/>
                <w:bCs w:val="0"/>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hint="default" w:ascii="宋体" w:hAnsi="宋体" w:eastAsia="宋体" w:cs="Times New Roman"/>
                <w:b/>
                <w:bCs w:val="0"/>
                <w:color w:val="000000" w:themeColor="text1"/>
                <w:kern w:val="2"/>
                <w:sz w:val="20"/>
                <w:szCs w:val="20"/>
                <w:lang w:val="en-US" w:eastAsia="zh-CN" w:bidi="ar-SA"/>
              </w:rPr>
            </w:pPr>
            <w:r>
              <w:rPr>
                <w:rFonts w:hint="eastAsia" w:ascii="宋体" w:hAnsi="宋体"/>
                <w:b/>
                <w:bCs w:val="0"/>
                <w:color w:val="000000"/>
                <w:sz w:val="20"/>
                <w:szCs w:val="20"/>
                <w:lang w:val="en-US" w:eastAsia="zh-CN"/>
              </w:rPr>
              <w:t>行政部</w:t>
            </w:r>
          </w:p>
        </w:tc>
        <w:tc>
          <w:tcPr>
            <w:tcW w:w="6804" w:type="dxa"/>
            <w:vAlign w:val="top"/>
          </w:tcPr>
          <w:p>
            <w:pPr>
              <w:spacing w:line="240" w:lineRule="auto"/>
              <w:jc w:val="left"/>
              <w:rPr>
                <w:rFonts w:ascii="宋体" w:hAnsi="宋体" w:eastAsia="宋体" w:cs="Times New Roman"/>
                <w:b/>
                <w:bCs w:val="0"/>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方针、目标管理；</w:t>
            </w:r>
            <w:r>
              <w:rPr>
                <w:rFonts w:ascii="宋体" w:hAnsi="宋体"/>
                <w:b/>
                <w:bCs w:val="0"/>
                <w:color w:val="000000" w:themeColor="text1"/>
                <w:sz w:val="21"/>
                <w:szCs w:val="21"/>
              </w:rPr>
              <w:t>设备管理</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文件、记录控制程；内审管理；人员、部门职能职责和权限；风险识别评价管理；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bCs w:val="0"/>
                <w:color w:val="000000" w:themeColor="text1"/>
                <w:kern w:val="2"/>
                <w:sz w:val="20"/>
                <w:szCs w:val="20"/>
                <w:lang w:val="en-US" w:eastAsia="zh-CN" w:bidi="ar-SA"/>
              </w:rPr>
            </w:pPr>
            <w:r>
              <w:rPr>
                <w:rFonts w:hint="eastAsia" w:ascii="宋体" w:hAnsi="宋体"/>
                <w:b/>
                <w:bCs w:val="0"/>
                <w:color w:val="000000"/>
                <w:sz w:val="20"/>
                <w:szCs w:val="20"/>
                <w:lang w:val="en-US" w:eastAsia="zh-CN"/>
              </w:rPr>
              <w:t>销售部</w:t>
            </w:r>
          </w:p>
        </w:tc>
        <w:tc>
          <w:tcPr>
            <w:tcW w:w="6804" w:type="dxa"/>
            <w:vAlign w:val="top"/>
          </w:tcPr>
          <w:p>
            <w:pPr>
              <w:spacing w:line="240" w:lineRule="auto"/>
              <w:jc w:val="left"/>
              <w:rPr>
                <w:rFonts w:ascii="宋体" w:hAnsi="宋体" w:eastAsia="宋体" w:cs="Times New Roman"/>
                <w:b/>
                <w:bCs w:val="0"/>
                <w:color w:val="000000" w:themeColor="text1"/>
                <w:spacing w:val="-20"/>
                <w:kern w:val="2"/>
                <w:sz w:val="20"/>
                <w:szCs w:val="20"/>
                <w:u w:val="single"/>
                <w:lang w:val="en-US" w:eastAsia="zh-CN" w:bidi="ar-SA"/>
              </w:rPr>
            </w:pPr>
            <w:r>
              <w:rPr>
                <w:rFonts w:hint="eastAsia" w:ascii="宋体" w:hAnsi="宋体"/>
                <w:b/>
                <w:bCs w:val="0"/>
                <w:color w:val="000000"/>
                <w:spacing w:val="-20"/>
                <w:sz w:val="21"/>
                <w:szCs w:val="21"/>
                <w:lang w:val="en-US" w:eastAsia="zh-CN"/>
              </w:rPr>
              <w:t>销售过程策划、合同管理、</w:t>
            </w:r>
            <w:r>
              <w:rPr>
                <w:rFonts w:hint="eastAsia" w:ascii="宋体" w:hAnsi="宋体"/>
                <w:b/>
                <w:bCs w:val="0"/>
                <w:color w:val="000000" w:themeColor="text1"/>
                <w:sz w:val="21"/>
                <w:szCs w:val="21"/>
              </w:rPr>
              <w:t>采购过程相关等过程</w:t>
            </w:r>
            <w:r>
              <w:rPr>
                <w:rFonts w:hint="eastAsia" w:ascii="宋体" w:hAnsi="宋体"/>
                <w:b/>
                <w:bCs w:val="0"/>
                <w:color w:val="000000" w:themeColor="text1"/>
                <w:sz w:val="21"/>
                <w:szCs w:val="21"/>
                <w:lang w:eastAsia="zh-CN"/>
              </w:rPr>
              <w:t>，</w:t>
            </w:r>
            <w:r>
              <w:rPr>
                <w:rFonts w:hint="eastAsia" w:ascii="宋体" w:hAnsi="宋体"/>
                <w:b/>
                <w:bCs w:val="0"/>
                <w:color w:val="000000"/>
                <w:spacing w:val="-20"/>
                <w:sz w:val="21"/>
                <w:szCs w:val="21"/>
                <w:lang w:val="en-US" w:eastAsia="zh-CN"/>
              </w:rPr>
              <w:t>销售服务</w:t>
            </w:r>
            <w:r>
              <w:rPr>
                <w:rFonts w:ascii="宋体" w:hAnsi="宋体"/>
                <w:b/>
                <w:bCs w:val="0"/>
                <w:color w:val="000000" w:themeColor="text1"/>
                <w:sz w:val="21"/>
                <w:szCs w:val="21"/>
              </w:rPr>
              <w:t>过程管理</w:t>
            </w:r>
            <w:r>
              <w:rPr>
                <w:rFonts w:hint="eastAsia" w:ascii="宋体" w:hAnsi="宋体"/>
                <w:b/>
                <w:bCs w:val="0"/>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售后部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lang w:val="en-US" w:eastAsia="zh-CN"/>
              </w:rPr>
              <w:t>放行过程管理</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不合格品控制</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lang w:val="en-US" w:eastAsia="zh-CN"/>
              </w:rPr>
              <w:t>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18</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rPr>
            </w:pPr>
            <w:r>
              <w:t>1、</w:t>
            </w:r>
            <w:r>
              <w:rPr>
                <w:rFonts w:hint="eastAsia"/>
              </w:rPr>
              <w:t>组织及其环境的识别情况</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宜城市楚江建筑材料有限公司</w:t>
            </w:r>
            <w:r>
              <w:rPr>
                <w:rFonts w:hint="eastAsia" w:ascii="宋体" w:hAnsi="宋体" w:eastAsia="宋体" w:cs="宋体"/>
                <w:sz w:val="21"/>
                <w:szCs w:val="21"/>
              </w:rPr>
              <w:t>，2017-04-13，法人代表</w:t>
            </w:r>
            <w:r>
              <w:rPr>
                <w:rFonts w:hint="eastAsia" w:ascii="宋体" w:hAnsi="宋体" w:cs="宋体"/>
                <w:sz w:val="21"/>
                <w:szCs w:val="21"/>
                <w:lang w:eastAsia="zh-CN"/>
              </w:rPr>
              <w:t>张士兴</w:t>
            </w:r>
            <w:r>
              <w:rPr>
                <w:rFonts w:hint="eastAsia" w:ascii="宋体" w:hAnsi="宋体" w:eastAsia="宋体" w:cs="宋体"/>
                <w:sz w:val="21"/>
                <w:szCs w:val="21"/>
              </w:rPr>
              <w:t>，注册地址：宜城市雷河镇华光路9号；经营地址：宜地市碧水云天179－38号。</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目前主要从事</w:t>
            </w:r>
            <w:r>
              <w:rPr>
                <w:rFonts w:hint="eastAsia" w:ascii="宋体" w:hAnsi="宋体" w:cs="宋体"/>
                <w:sz w:val="21"/>
                <w:szCs w:val="21"/>
                <w:lang w:val="en-US" w:eastAsia="zh-CN"/>
              </w:rPr>
              <w:t>陶粒的销售</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行政部、销售部、售后部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pStyle w:val="3"/>
              <w:ind w:left="480" w:leftChars="0"/>
              <w:rPr>
                <w:b/>
                <w:color w:val="000000" w:themeColor="text1"/>
                <w:sz w:val="20"/>
                <w:szCs w:val="20"/>
              </w:rPr>
            </w:pPr>
            <w:r>
              <w:rPr>
                <w:rFonts w:hint="eastAsia" w:ascii="宋体" w:hAnsi="宋体" w:eastAsia="宋体" w:cs="宋体"/>
                <w:kern w:val="2"/>
                <w:sz w:val="21"/>
                <w:szCs w:val="21"/>
                <w:lang w:val="en-US" w:eastAsia="zh-CN" w:bidi="ar-SA"/>
              </w:rPr>
              <w:t>组织环境识别充分、有效。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360" w:lineRule="auto"/>
              <w:rPr>
                <w:rFonts w:hint="eastAsia"/>
                <w:b w:val="0"/>
                <w:bCs/>
                <w:color w:val="000000" w:themeColor="text1"/>
                <w:sz w:val="20"/>
                <w:szCs w:val="20"/>
              </w:rPr>
            </w:pPr>
            <w:r>
              <w:rPr>
                <w:rFonts w:hint="eastAsia"/>
                <w:b w:val="0"/>
                <w:bCs/>
                <w:color w:val="000000" w:themeColor="text1"/>
                <w:sz w:val="20"/>
                <w:szCs w:val="20"/>
              </w:rPr>
              <w:t>公司识别并确定了利益相关方：顾客、外部供应商、员工及其他为本公司工作的人员或组织等。</w:t>
            </w:r>
          </w:p>
          <w:p>
            <w:pPr>
              <w:spacing w:line="360" w:lineRule="auto"/>
              <w:rPr>
                <w:b/>
                <w:color w:val="000000" w:themeColor="text1"/>
                <w:sz w:val="20"/>
                <w:szCs w:val="20"/>
              </w:rPr>
            </w:pPr>
            <w:r>
              <w:rPr>
                <w:rFonts w:hint="eastAsia"/>
                <w:b w:val="0"/>
                <w:bCs/>
                <w:color w:val="000000" w:themeColor="text1"/>
                <w:sz w:val="20"/>
                <w:szCs w:val="20"/>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w:t>
            </w:r>
            <w:r>
              <w:rPr>
                <w:rFonts w:hint="eastAsia" w:ascii="宋体" w:hAnsi="宋体"/>
                <w:color w:val="000000" w:themeColor="text1"/>
                <w:lang w:val="en-US" w:eastAsia="zh-CN"/>
              </w:rPr>
              <w:t>质量</w:t>
            </w:r>
            <w:r>
              <w:rPr>
                <w:rFonts w:hint="eastAsia" w:ascii="宋体" w:hAnsi="宋体"/>
                <w:color w:val="000000" w:themeColor="text1"/>
              </w:rPr>
              <w:t>方针：</w:t>
            </w:r>
            <w:r>
              <w:rPr>
                <w:rFonts w:hint="eastAsia" w:ascii="宋体" w:hAnsi="宋体" w:eastAsia="宋体" w:cs="Times New Roman"/>
                <w:szCs w:val="21"/>
                <w:lang w:eastAsia="zh-CN"/>
              </w:rPr>
              <w:t>优质服务, 客户第一，持续改进，勇攀一流。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0"/>
              </w:numPr>
              <w:spacing w:line="360" w:lineRule="auto"/>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360" w:lineRule="auto"/>
              <w:ind w:left="0" w:leftChars="0" w:firstLine="0" w:firstLineChars="0"/>
              <w:rPr>
                <w:b/>
                <w:color w:val="000000" w:themeColor="text1"/>
              </w:rPr>
            </w:pPr>
            <w:r>
              <w:rPr>
                <w:rFonts w:hint="eastAsia"/>
                <w:b w:val="0"/>
                <w:bCs/>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质量管理体系过程有：</w:t>
            </w:r>
            <w:r>
              <w:rPr>
                <w:rFonts w:hint="eastAsia" w:ascii="宋体" w:hAnsi="宋体" w:cs="Times New Roman"/>
                <w:b/>
                <w:color w:val="auto"/>
                <w:sz w:val="20"/>
                <w:szCs w:val="20"/>
                <w:lang w:val="en-US" w:eastAsia="zh-CN"/>
              </w:rPr>
              <w:t xml:space="preserve">销售服务过程 </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w:t>
            </w:r>
            <w:r>
              <w:rPr>
                <w:rFonts w:hint="eastAsia" w:ascii="宋体" w:hAnsi="宋体"/>
                <w:b/>
                <w:color w:val="auto"/>
                <w:sz w:val="20"/>
                <w:szCs w:val="20"/>
                <w:u w:val="single"/>
                <w:lang w:val="en-US" w:eastAsia="zh-CN"/>
              </w:rPr>
              <w:t>无</w:t>
            </w:r>
            <w:r>
              <w:rPr>
                <w:rFonts w:hint="eastAsia" w:ascii="宋体" w:hAnsi="宋体"/>
                <w:b/>
                <w:color w:val="auto"/>
                <w:sz w:val="20"/>
                <w:szCs w:val="20"/>
                <w:u w:val="single"/>
                <w:lang w:eastAsia="zh-CN"/>
              </w:rPr>
              <w:t>，</w:t>
            </w:r>
          </w:p>
          <w:p>
            <w:pPr>
              <w:tabs>
                <w:tab w:val="left" w:pos="540"/>
              </w:tabs>
              <w:spacing w:line="360" w:lineRule="auto"/>
              <w:ind w:left="201" w:hanging="201" w:hangingChars="100"/>
              <w:rPr>
                <w:rFonts w:hint="default" w:ascii="宋体" w:hAnsi="宋体"/>
                <w:b/>
                <w:color w:val="auto"/>
                <w:sz w:val="20"/>
                <w:szCs w:val="20"/>
                <w:u w:val="single"/>
                <w:lang w:val="en-US"/>
              </w:rPr>
            </w:pPr>
            <w:r>
              <w:rPr>
                <w:rFonts w:hint="eastAsia" w:ascii="宋体" w:hAnsi="宋体"/>
                <w:b/>
                <w:color w:val="auto"/>
                <w:sz w:val="20"/>
                <w:szCs w:val="20"/>
              </w:rPr>
              <w:t xml:space="preserve">需要确认过程  </w:t>
            </w:r>
            <w:r>
              <w:rPr>
                <w:rFonts w:hint="eastAsia" w:ascii="宋体" w:hAnsi="宋体"/>
                <w:b/>
                <w:color w:val="auto"/>
                <w:sz w:val="20"/>
                <w:szCs w:val="20"/>
                <w:u w:val="single"/>
                <w:lang w:val="en-US" w:eastAsia="zh-CN"/>
              </w:rPr>
              <w:t>销售服务过程</w:t>
            </w:r>
          </w:p>
          <w:p>
            <w:pPr>
              <w:tabs>
                <w:tab w:val="left" w:pos="540"/>
              </w:tabs>
              <w:spacing w:line="300" w:lineRule="exact"/>
              <w:ind w:left="201" w:hanging="201" w:hangingChars="100"/>
              <w:rPr>
                <w:rFonts w:ascii="宋体" w:hAnsi="宋体"/>
                <w:b/>
                <w:color w:val="auto"/>
                <w:sz w:val="20"/>
                <w:szCs w:val="20"/>
              </w:rPr>
            </w:pPr>
            <w:r>
              <w:rPr>
                <w:rFonts w:hint="eastAsia" w:ascii="宋体" w:hAnsi="宋体"/>
                <w:b/>
                <w:color w:val="auto"/>
                <w:sz w:val="20"/>
                <w:szCs w:val="20"/>
              </w:rPr>
              <w:t xml:space="preserve">不适用条款是  </w:t>
            </w:r>
            <w:r>
              <w:rPr>
                <w:rFonts w:hint="eastAsia" w:ascii="宋体" w:hAnsi="宋体"/>
                <w:b/>
                <w:color w:val="auto"/>
                <w:sz w:val="20"/>
                <w:szCs w:val="20"/>
                <w:u w:val="single"/>
                <w:lang w:val="en-US" w:eastAsia="zh-CN"/>
              </w:rPr>
              <w:t>8.3</w:t>
            </w:r>
            <w:r>
              <w:rPr>
                <w:rFonts w:hint="eastAsia" w:ascii="宋体" w:hAnsi="宋体"/>
                <w:b/>
                <w:color w:val="auto"/>
                <w:sz w:val="20"/>
                <w:szCs w:val="20"/>
              </w:rPr>
              <w:t xml:space="preserve"> ，不适用理由： </w:t>
            </w:r>
            <w:r>
              <w:rPr>
                <w:rFonts w:hint="default" w:ascii="Times New Roman" w:hAnsi="Times New Roman" w:eastAsia="宋体" w:cs="Times New Roman"/>
                <w:sz w:val="21"/>
                <w:szCs w:val="21"/>
              </w:rPr>
              <w:t>企业涉及陶粒的销售，不适用故GB/T19001-2016标准中8.3“产品和服务的设计和开发”条款的要求。不影响组织确保其产品和服务合格的能力或责任，对增强顾客满意也不会产生影响。</w:t>
            </w:r>
          </w:p>
          <w:p>
            <w:pPr>
              <w:tabs>
                <w:tab w:val="left" w:pos="540"/>
              </w:tabs>
              <w:spacing w:line="300" w:lineRule="exact"/>
              <w:ind w:left="211" w:leftChars="0"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w:t>
            </w:r>
            <w:r>
              <w:rPr>
                <w:rFonts w:hint="eastAsia" w:ascii="宋体" w:hAnsi="宋体"/>
                <w:b/>
                <w:color w:val="000000" w:themeColor="text1"/>
                <w:szCs w:val="21"/>
              </w:rPr>
              <w:sym w:font="Wingdings 2" w:char="00A3"/>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hint="eastAsia" w:ascii="宋体" w:hAnsi="宋体" w:eastAsia="宋体" w:cs="宋体"/>
                <w:szCs w:val="22"/>
              </w:rPr>
            </w:pPr>
            <w:r>
              <w:rPr>
                <w:rFonts w:hint="eastAsia" w:ascii="宋体" w:hAnsi="宋体" w:eastAsia="宋体" w:cs="宋体"/>
                <w:szCs w:val="22"/>
              </w:rPr>
              <w:t>公司质量目标：</w:t>
            </w:r>
          </w:p>
          <w:p>
            <w:pPr>
              <w:spacing w:line="360" w:lineRule="auto"/>
              <w:rPr>
                <w:rFonts w:hint="eastAsia" w:ascii="宋体" w:hAnsi="宋体" w:eastAsia="宋体" w:cs="宋体"/>
                <w:szCs w:val="22"/>
              </w:rPr>
            </w:pPr>
            <w:r>
              <w:rPr>
                <w:rFonts w:hint="eastAsia" w:ascii="宋体" w:hAnsi="宋体" w:eastAsia="宋体" w:cs="宋体"/>
                <w:szCs w:val="22"/>
              </w:rPr>
              <w:t>顾客满意度≧92%</w:t>
            </w:r>
          </w:p>
          <w:p>
            <w:pPr>
              <w:spacing w:line="360" w:lineRule="auto"/>
              <w:rPr>
                <w:rFonts w:hint="eastAsia" w:ascii="宋体" w:hAnsi="宋体" w:eastAsia="宋体" w:cs="宋体"/>
                <w:szCs w:val="22"/>
              </w:rPr>
            </w:pPr>
            <w:r>
              <w:rPr>
                <w:rFonts w:hint="eastAsia" w:ascii="宋体" w:hAnsi="宋体" w:eastAsia="宋体" w:cs="宋体"/>
                <w:szCs w:val="22"/>
              </w:rPr>
              <w:t>部门质量目标：</w:t>
            </w:r>
          </w:p>
          <w:p>
            <w:pPr>
              <w:spacing w:line="360" w:lineRule="auto"/>
              <w:rPr>
                <w:rFonts w:hint="eastAsia" w:ascii="宋体" w:hAnsi="宋体" w:eastAsia="宋体" w:cs="宋体"/>
                <w:szCs w:val="22"/>
              </w:rPr>
            </w:pPr>
            <w:r>
              <w:rPr>
                <w:rFonts w:hint="eastAsia" w:ascii="宋体" w:hAnsi="宋体" w:eastAsia="宋体" w:cs="宋体"/>
                <w:szCs w:val="22"/>
              </w:rPr>
              <w:t xml:space="preserve">售后部：客户投诉处理率≧95% </w:t>
            </w:r>
          </w:p>
          <w:p>
            <w:pPr>
              <w:spacing w:line="360" w:lineRule="auto"/>
              <w:rPr>
                <w:rFonts w:hint="eastAsia" w:ascii="宋体" w:hAnsi="宋体" w:eastAsia="宋体" w:cs="宋体"/>
                <w:szCs w:val="22"/>
              </w:rPr>
            </w:pPr>
            <w:r>
              <w:rPr>
                <w:rFonts w:hint="eastAsia" w:ascii="宋体" w:hAnsi="宋体" w:eastAsia="宋体" w:cs="宋体"/>
                <w:szCs w:val="22"/>
              </w:rPr>
              <w:t xml:space="preserve">行政部：培训合格率≧100% </w:t>
            </w:r>
          </w:p>
          <w:p>
            <w:pPr>
              <w:spacing w:line="360" w:lineRule="auto"/>
              <w:rPr>
                <w:rFonts w:hint="eastAsia" w:ascii="宋体" w:hAnsi="宋体" w:eastAsia="宋体" w:cs="宋体"/>
                <w:szCs w:val="22"/>
              </w:rPr>
            </w:pPr>
            <w:r>
              <w:rPr>
                <w:rFonts w:hint="eastAsia" w:ascii="宋体" w:hAnsi="宋体" w:eastAsia="宋体" w:cs="宋体"/>
                <w:szCs w:val="22"/>
              </w:rPr>
              <w:t xml:space="preserve">销售部：产品合格率≧95% </w:t>
            </w:r>
          </w:p>
          <w:p>
            <w:pPr>
              <w:spacing w:line="360" w:lineRule="auto"/>
              <w:rPr>
                <w:rFonts w:ascii="宋体" w:hAnsi="宋体"/>
                <w:b/>
                <w:color w:val="000000" w:themeColor="text1"/>
              </w:rPr>
            </w:pPr>
            <w:r>
              <w:rPr>
                <w:rFonts w:hint="eastAsia" w:ascii="宋体" w:hAnsi="宋体" w:eastAsia="宋体" w:cs="宋体"/>
                <w:szCs w:val="22"/>
              </w:rPr>
              <w:t>交货准时率≧91%提供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公司按照申请认证的标准要求，建立并形成了文件化的质量管理体系文件，体系文件对管理体系各过程进行了识别确定、明确了各要素间的相互关系及其管控要求。公司体系文件于202</w:t>
            </w:r>
            <w:r>
              <w:rPr>
                <w:rFonts w:hint="eastAsia" w:ascii="宋体" w:hAnsi="宋体"/>
                <w:b w:val="0"/>
                <w:bCs/>
                <w:color w:val="000000" w:themeColor="text1"/>
                <w:sz w:val="20"/>
                <w:szCs w:val="20"/>
                <w:lang w:val="en-US" w:eastAsia="zh-CN"/>
              </w:rPr>
              <w:t>1</w:t>
            </w:r>
            <w:r>
              <w:rPr>
                <w:rFonts w:hint="eastAsia" w:ascii="宋体" w:hAnsi="宋体"/>
                <w:b w:val="0"/>
                <w:bCs/>
                <w:color w:val="000000" w:themeColor="text1"/>
                <w:sz w:val="20"/>
                <w:szCs w:val="20"/>
              </w:rPr>
              <w:t>年</w:t>
            </w:r>
            <w:r>
              <w:rPr>
                <w:rFonts w:hint="eastAsia" w:ascii="宋体" w:hAnsi="宋体"/>
                <w:b w:val="0"/>
                <w:bCs/>
                <w:color w:val="000000" w:themeColor="text1"/>
                <w:sz w:val="20"/>
                <w:szCs w:val="20"/>
                <w:lang w:val="en-US" w:eastAsia="zh-CN"/>
              </w:rPr>
              <w:t>3</w:t>
            </w:r>
            <w:r>
              <w:rPr>
                <w:rFonts w:hint="eastAsia" w:ascii="宋体" w:hAnsi="宋体"/>
                <w:b w:val="0"/>
                <w:bCs/>
                <w:color w:val="000000" w:themeColor="text1"/>
                <w:sz w:val="20"/>
                <w:szCs w:val="20"/>
              </w:rPr>
              <w:t>月</w:t>
            </w:r>
            <w:r>
              <w:rPr>
                <w:rFonts w:hint="eastAsia" w:ascii="宋体" w:hAnsi="宋体"/>
                <w:b w:val="0"/>
                <w:bCs/>
                <w:color w:val="000000" w:themeColor="text1"/>
                <w:sz w:val="20"/>
                <w:szCs w:val="20"/>
                <w:lang w:val="en-US" w:eastAsia="zh-CN"/>
              </w:rPr>
              <w:t>18</w:t>
            </w:r>
            <w:r>
              <w:rPr>
                <w:rFonts w:hint="eastAsia" w:ascii="宋体" w:hAnsi="宋体"/>
                <w:b w:val="0"/>
                <w:bCs/>
                <w:color w:val="000000" w:themeColor="text1"/>
                <w:sz w:val="20"/>
                <w:szCs w:val="20"/>
              </w:rPr>
              <w:t>日予以发布并有效实施运行，经对文件评审判定：符合标准要求，符合公司的实际且具有可操作性。</w:t>
            </w:r>
            <w:bookmarkStart w:id="22" w:name="_GoBack"/>
            <w:bookmarkEnd w:id="22"/>
            <w:r>
              <w:rPr>
                <w:rFonts w:hint="eastAsia" w:ascii="宋体" w:hAnsi="宋体"/>
                <w:b w:val="0"/>
                <w:bCs/>
                <w:color w:val="000000" w:themeColor="text1"/>
                <w:sz w:val="20"/>
                <w:szCs w:val="20"/>
              </w:rPr>
              <w:t>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lang w:val="en-US" w:eastAsia="zh-CN"/>
              </w:rPr>
              <w:t xml:space="preserve"> </w:t>
            </w:r>
            <w:r>
              <w:rPr>
                <w:rFonts w:hint="eastAsia" w:ascii="宋体" w:hAnsi="宋体"/>
                <w:b/>
                <w:color w:val="000000" w:themeColor="text1"/>
                <w:sz w:val="20"/>
                <w:szCs w:val="20"/>
              </w:rPr>
              <w:t>:</w:t>
            </w:r>
          </w:p>
          <w:p>
            <w:pPr>
              <w:spacing w:line="360" w:lineRule="auto"/>
              <w:ind w:firstLine="400" w:firstLineChars="200"/>
              <w:rPr>
                <w:rFonts w:hint="eastAsia" w:ascii="宋体" w:hAnsi="宋体"/>
                <w:b w:val="0"/>
                <w:bCs/>
                <w:color w:val="000000" w:themeColor="text1"/>
                <w:sz w:val="20"/>
                <w:szCs w:val="20"/>
              </w:rPr>
            </w:pPr>
            <w:r>
              <w:rPr>
                <w:rFonts w:hint="eastAsia" w:ascii="宋体" w:hAnsi="宋体"/>
                <w:b w:val="0"/>
                <w:bCs/>
                <w:color w:val="000000" w:themeColor="text1"/>
                <w:sz w:val="20"/>
                <w:szCs w:val="20"/>
              </w:rPr>
              <w:t>组织按管理体系需求配置了充足的人员、设施、监视和测量设备等资源，并建立维持了</w:t>
            </w:r>
            <w:r>
              <w:rPr>
                <w:rFonts w:hint="eastAsia" w:ascii="宋体" w:hAnsi="宋体"/>
                <w:b w:val="0"/>
                <w:bCs/>
                <w:color w:val="000000" w:themeColor="text1"/>
                <w:sz w:val="20"/>
                <w:szCs w:val="20"/>
                <w:lang w:val="en-US" w:eastAsia="zh-CN"/>
              </w:rPr>
              <w:t>销售服务</w:t>
            </w:r>
            <w:r>
              <w:rPr>
                <w:rFonts w:hint="eastAsia" w:ascii="宋体" w:hAnsi="宋体"/>
                <w:b w:val="0"/>
                <w:bCs/>
                <w:color w:val="000000" w:themeColor="text1"/>
                <w:sz w:val="20"/>
                <w:szCs w:val="20"/>
              </w:rPr>
              <w:t>及相关服务运行环境，可以维持管理体系的正常运行。</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hint="eastAsia" w:ascii="宋体" w:hAnsi="宋体"/>
                <w:color w:val="auto"/>
                <w:spacing w:val="-10"/>
                <w:sz w:val="20"/>
                <w:szCs w:val="20"/>
                <w:lang w:val="en-US" w:eastAsia="zh-CN"/>
              </w:rPr>
            </w:pPr>
            <w:r>
              <w:rPr>
                <w:rFonts w:hint="eastAsia" w:ascii="宋体" w:hAnsi="宋体"/>
                <w:color w:val="auto"/>
                <w:spacing w:val="-10"/>
                <w:sz w:val="20"/>
                <w:szCs w:val="20"/>
                <w:lang w:val="en-US" w:eastAsia="zh-CN"/>
              </w:rPr>
              <w:t>台式电脑、笔记本电脑、</w:t>
            </w:r>
            <w:r>
              <w:rPr>
                <w:rFonts w:hint="eastAsia" w:ascii="宋体" w:hAnsi="宋体"/>
                <w:snapToGrid w:val="0"/>
                <w:kern w:val="0"/>
                <w:sz w:val="20"/>
                <w:szCs w:val="22"/>
                <w:lang w:val="en-US" w:eastAsia="zh-CN"/>
              </w:rPr>
              <w:t>打印机、电话</w:t>
            </w:r>
            <w:r>
              <w:rPr>
                <w:rFonts w:hint="eastAsia" w:ascii="宋体" w:hAnsi="宋体"/>
                <w:color w:val="auto"/>
                <w:spacing w:val="-10"/>
                <w:sz w:val="20"/>
                <w:szCs w:val="20"/>
                <w:lang w:val="en-US" w:eastAsia="zh-CN"/>
              </w:rPr>
              <w:t>等</w:t>
            </w:r>
          </w:p>
          <w:p>
            <w:pPr>
              <w:spacing w:line="360" w:lineRule="auto"/>
              <w:rPr>
                <w:rFonts w:ascii="宋体" w:hAnsi="宋体"/>
                <w:b/>
                <w:color w:val="000000" w:themeColor="text1"/>
                <w:sz w:val="20"/>
                <w:szCs w:val="20"/>
              </w:rPr>
            </w:pPr>
            <w:r>
              <w:rPr>
                <w:rFonts w:hint="eastAsia" w:ascii="宋体" w:hAnsi="宋体"/>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hint="eastAsia" w:ascii="宋体" w:hAnsi="宋体" w:eastAsia="宋体" w:cs="Times New Roman"/>
                <w:color w:val="auto"/>
                <w:spacing w:val="-10"/>
                <w:sz w:val="20"/>
                <w:szCs w:val="20"/>
                <w:lang w:val="en-US" w:eastAsia="zh-CN"/>
              </w:rPr>
            </w:pPr>
            <w:r>
              <w:rPr>
                <w:rFonts w:hint="eastAsia" w:ascii="宋体" w:hAnsi="宋体" w:eastAsia="宋体" w:cs="Times New Roman"/>
                <w:color w:val="auto"/>
                <w:spacing w:val="-10"/>
                <w:sz w:val="20"/>
                <w:szCs w:val="20"/>
                <w:lang w:val="en-US" w:eastAsia="zh-CN"/>
              </w:rPr>
              <w:t>销售服务过程和办公过程对环境要求一般，无特殊要求，办公室环境卫生较好。</w:t>
            </w:r>
          </w:p>
          <w:p>
            <w:pPr>
              <w:spacing w:line="360" w:lineRule="auto"/>
              <w:rPr>
                <w:rFonts w:ascii="宋体" w:hAnsi="宋体"/>
                <w:b/>
                <w:color w:val="000000" w:themeColor="text1"/>
                <w:sz w:val="20"/>
                <w:szCs w:val="20"/>
              </w:rPr>
            </w:pPr>
            <w:r>
              <w:rPr>
                <w:rFonts w:hint="eastAsia" w:ascii="宋体" w:hAnsi="宋体" w:eastAsia="宋体" w:cs="Times New Roman"/>
                <w:color w:val="auto"/>
                <w:spacing w:val="-10"/>
                <w:sz w:val="20"/>
                <w:szCs w:val="20"/>
                <w:lang w:val="en-US" w:eastAsia="zh-CN"/>
              </w:rPr>
              <w:t>办公环境光照、温度适宜，通风良好，电路布线合理、电气插座完整，未见破损，办公场所物品摆放整齐、有序，未见随意乱放私人物品的情况，未见用电不当等安全隐患及不良影响现象。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Cs w:val="21"/>
                <w:lang w:eastAsia="zh-CN"/>
              </w:rPr>
              <w:t>公司</w:t>
            </w:r>
            <w:r>
              <w:rPr>
                <w:rFonts w:hint="eastAsia"/>
                <w:szCs w:val="21"/>
                <w:lang w:val="en-US" w:eastAsia="zh-CN"/>
              </w:rPr>
              <w:t>主要是销售服务过程，暂无监视和测量设备</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hint="eastAsia" w:ascii="宋体" w:hAnsi="宋体"/>
                <w:b w:val="0"/>
                <w:bCs/>
                <w:color w:val="000000" w:themeColor="text1"/>
                <w:sz w:val="20"/>
                <w:szCs w:val="20"/>
              </w:rPr>
            </w:pPr>
            <w:r>
              <w:rPr>
                <w:rFonts w:hint="eastAsia" w:ascii="宋体" w:hAnsi="宋体"/>
                <w:b w:val="0"/>
                <w:bCs/>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网络信息，从顾客或外部供方收集的知识）。</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eastAsia="宋体" w:cs="Times New Roman"/>
                <w:szCs w:val="21"/>
                <w:lang w:eastAsia="zh-CN"/>
              </w:rPr>
              <w:t>优质服务, 客户第一，持续改进，勇攀一流</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color w:val="000000"/>
                <w:sz w:val="21"/>
                <w:szCs w:val="21"/>
              </w:rPr>
              <w:t>良好</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color w:val="000000"/>
                <w:sz w:val="21"/>
                <w:szCs w:val="21"/>
              </w:rPr>
              <w:t>采取顾客满意度调查方式了解顾客感受。</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OHSMS事务代表协商和交流的情况（OHSMS填写）：</w:t>
            </w:r>
          </w:p>
          <w:p>
            <w:pPr>
              <w:spacing w:line="360" w:lineRule="auto"/>
              <w:rPr>
                <w:rFonts w:ascii="楷体_GB2312" w:eastAsia="楷体_GB2312"/>
                <w:b/>
                <w:color w:val="000000" w:themeColor="text1"/>
                <w:szCs w:val="21"/>
              </w:rPr>
            </w:pPr>
            <w:r>
              <w:rPr>
                <w:rFonts w:hint="eastAsia" w:ascii="宋体" w:hAnsi="宋体" w:eastAsia="宋体" w:cs="宋体"/>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b/>
                <w:color w:val="000000" w:themeColor="text1"/>
                <w:sz w:val="20"/>
                <w:szCs w:val="20"/>
              </w:rPr>
            </w:pPr>
            <w:r>
              <w:rPr>
                <w:rFonts w:hint="eastAsia"/>
                <w:b w:val="0"/>
                <w:bCs/>
                <w:color w:val="000000" w:themeColor="text1"/>
                <w:sz w:val="20"/>
                <w:szCs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无关键工序</w:t>
            </w:r>
            <w:r>
              <w:rPr>
                <w:rFonts w:hint="eastAsia"/>
                <w:b w:val="0"/>
                <w:bCs/>
                <w:color w:val="000000" w:themeColor="text1"/>
                <w:sz w:val="20"/>
                <w:szCs w:val="20"/>
                <w:lang w:eastAsia="zh-CN"/>
              </w:rPr>
              <w:t>，</w:t>
            </w:r>
            <w:r>
              <w:rPr>
                <w:rFonts w:hint="eastAsia"/>
                <w:b w:val="0"/>
                <w:bCs/>
                <w:color w:val="000000" w:themeColor="text1"/>
                <w:sz w:val="20"/>
                <w:szCs w:val="20"/>
              </w:rPr>
              <w:t>特殊过程</w:t>
            </w:r>
            <w:r>
              <w:rPr>
                <w:rFonts w:hint="eastAsia"/>
                <w:b w:val="0"/>
                <w:bCs/>
                <w:color w:val="000000" w:themeColor="text1"/>
                <w:sz w:val="20"/>
                <w:szCs w:val="20"/>
                <w:lang w:val="en-US" w:eastAsia="zh-CN"/>
              </w:rPr>
              <w:t>为销售服务过程</w:t>
            </w:r>
            <w:r>
              <w:rPr>
                <w:rFonts w:hint="eastAsia"/>
                <w:b w:val="0"/>
                <w:bCs/>
                <w:color w:val="000000" w:themeColor="text1"/>
                <w:sz w:val="20"/>
                <w:szCs w:val="20"/>
              </w:rPr>
              <w:t>，能力满足要求。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企业参考国家行业主要有：</w:t>
            </w:r>
            <w:r>
              <w:rPr>
                <w:rFonts w:hint="eastAsia" w:ascii="宋体" w:hAnsi="宋体"/>
                <w:szCs w:val="21"/>
                <w:lang w:eastAsia="zh-CN"/>
              </w:rPr>
              <w:t>水处理用人工陶粒滤料CJ/T 299-2008、陶粒发泡混凝土砌块GB/T 36534-2018、陶粒泡沫混凝土JC/T 2459-2018、陶粒加气混凝土砌块JG/T 504-2016、陶粒滤料QB/T 4383-2012、陶粒用钢渣粉YB/T 4728-2018、中华人民共和国公司法、中华人民共和国合同法、中华人民共和国产品质量法、中华人民共和国安全生产法、中华人民共和国招标投标法</w:t>
            </w:r>
            <w:r>
              <w:rPr>
                <w:rFonts w:hint="eastAsia" w:ascii="宋体" w:hAnsi="宋体" w:eastAsia="宋体" w:cs="宋体"/>
                <w:b w:val="0"/>
                <w:bCs w:val="0"/>
                <w:sz w:val="21"/>
                <w:szCs w:val="21"/>
              </w:rPr>
              <w:t>和客户要求。</w:t>
            </w:r>
          </w:p>
          <w:p>
            <w:pPr>
              <w:spacing w:line="300" w:lineRule="exact"/>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提供了检验记录，产品检验合格，满足顾客要求。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b w:val="0"/>
                <w:bCs/>
                <w:color w:val="000000" w:themeColor="text1"/>
                <w:sz w:val="20"/>
                <w:szCs w:val="20"/>
              </w:rPr>
              <w:t>提供的《不合格品控制程序》中规定了对不合格品的标识、记录、隔离、记录和处置的控制要求。采购检验中发现的不合格，要求做好相应的标识，并及时通知采购人员作退/换货处理。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b/>
                <w:color w:val="000000" w:themeColor="text1"/>
                <w:sz w:val="20"/>
                <w:szCs w:val="20"/>
              </w:rPr>
            </w:pPr>
            <w:r>
              <w:rPr>
                <w:rFonts w:hint="eastAsia"/>
                <w:b/>
                <w:color w:val="000000" w:themeColor="text1"/>
                <w:sz w:val="20"/>
                <w:szCs w:val="20"/>
                <w:lang w:val="en-US" w:eastAsia="zh-CN"/>
              </w:rPr>
              <w:t>无</w:t>
            </w:r>
            <w:r>
              <w:rPr>
                <w:rFonts w:hint="eastAsia"/>
                <w:b/>
                <w:color w:val="000000" w:themeColor="text1"/>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rPr>
            </w:pPr>
            <w:r>
              <w:rPr>
                <w:rFonts w:hint="eastAsia"/>
              </w:rPr>
              <w:t>11 .对危险化学品销售、使用、储存、运输处置，规定的执行力度(必要时);</w:t>
            </w:r>
          </w:p>
          <w:p>
            <w:pPr>
              <w:pStyle w:val="2"/>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w:t>
            </w:r>
            <w:r>
              <w:rPr>
                <w:rFonts w:hint="eastAsia" w:ascii="宋体" w:hAnsi="宋体" w:cs="宋体"/>
                <w:color w:val="000000"/>
                <w:szCs w:val="21"/>
              </w:rPr>
              <w:t>过20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月目标的</w:t>
            </w:r>
            <w:r>
              <w:rPr>
                <w:rFonts w:hint="eastAsia" w:ascii="宋体" w:hAnsi="宋体" w:cs="宋体"/>
                <w:color w:val="000000" w:themeColor="text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105" w:leftChars="-50" w:firstLine="0" w:firstLineChars="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18日统计</w:t>
            </w:r>
            <w:r>
              <w:rPr>
                <w:rFonts w:hint="eastAsia" w:ascii="宋体" w:hAnsi="宋体" w:cs="宋体"/>
                <w:color w:val="000000" w:themeColor="text1"/>
                <w:szCs w:val="21"/>
              </w:rPr>
              <w:t>，满意度评价达</w:t>
            </w:r>
            <w:r>
              <w:rPr>
                <w:rFonts w:hint="eastAsia" w:ascii="宋体" w:hAnsi="宋体" w:cs="宋体"/>
                <w:color w:val="000000" w:themeColor="text1"/>
                <w:szCs w:val="21"/>
                <w:lang w:val="en-US" w:eastAsia="zh-CN"/>
              </w:rPr>
              <w:t>97</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pPr>
              <w:spacing w:line="360" w:lineRule="auto"/>
              <w:jc w:val="left"/>
              <w:rPr>
                <w:b/>
                <w:color w:val="000000" w:themeColor="text1"/>
                <w:sz w:val="20"/>
                <w:szCs w:val="20"/>
              </w:rPr>
            </w:pPr>
            <w:r>
              <w:rPr>
                <w:b/>
                <w:color w:val="000000" w:themeColor="text1"/>
                <w:sz w:val="20"/>
                <w:szCs w:val="20"/>
              </w:rPr>
              <w:t xml:space="preserve"> </w:t>
            </w:r>
            <w:r>
              <w:rPr>
                <w:rFonts w:hint="eastAsia" w:ascii="宋体" w:hAnsi="宋体" w:cs="宋体"/>
                <w:szCs w:val="22"/>
              </w:rPr>
              <w:t xml:space="preserve"> 每年一次，本次</w:t>
            </w:r>
            <w:r>
              <w:rPr>
                <w:rFonts w:hint="eastAsia"/>
                <w:lang w:eastAsia="zh-CN"/>
              </w:rPr>
              <w:t>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21</w:t>
            </w:r>
            <w:r>
              <w:rPr>
                <w:rFonts w:hint="eastAsia" w:ascii="宋体" w:hAnsi="宋体" w:cs="宋体"/>
                <w:szCs w:val="22"/>
              </w:rPr>
              <w:t>日内审。</w:t>
            </w:r>
          </w:p>
          <w:p>
            <w:pPr>
              <w:spacing w:line="360" w:lineRule="auto"/>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pPr>
              <w:spacing w:line="360" w:lineRule="auto"/>
              <w:ind w:firstLine="210" w:firstLineChars="100"/>
              <w:rPr>
                <w:rFonts w:asciiTheme="minorEastAsia" w:hAnsiTheme="minorEastAsia" w:eastAsiaTheme="minorEastAsia"/>
                <w:szCs w:val="22"/>
              </w:rPr>
            </w:pPr>
            <w:r>
              <w:rPr>
                <w:rFonts w:hint="eastAsia" w:asciiTheme="minorEastAsia" w:hAnsiTheme="minorEastAsia" w:eastAsiaTheme="minorEastAsia"/>
                <w:szCs w:val="22"/>
              </w:rPr>
              <w:t>覆盖。</w:t>
            </w:r>
          </w:p>
          <w:p>
            <w:pPr>
              <w:spacing w:line="360" w:lineRule="auto"/>
              <w:rPr>
                <w:b/>
                <w:color w:val="000000" w:themeColor="text1"/>
                <w:sz w:val="20"/>
                <w:szCs w:val="20"/>
              </w:rPr>
            </w:pPr>
            <w:r>
              <w:rPr>
                <w:rFonts w:hint="eastAsia"/>
                <w:b/>
                <w:color w:val="000000" w:themeColor="text1"/>
                <w:sz w:val="20"/>
                <w:szCs w:val="20"/>
              </w:rPr>
              <w:t>了解内审结论是什么？</w:t>
            </w:r>
          </w:p>
          <w:p>
            <w:pPr>
              <w:spacing w:line="360" w:lineRule="auto"/>
              <w:rPr>
                <w:b/>
                <w:color w:val="000000" w:themeColor="text1"/>
                <w:spacing w:val="-8"/>
                <w:sz w:val="20"/>
                <w:szCs w:val="20"/>
              </w:rPr>
            </w:pPr>
            <w:r>
              <w:rPr>
                <w:rFonts w:hint="eastAsia" w:asciiTheme="minorEastAsia" w:hAnsiTheme="minorEastAsia" w:eastAsiaTheme="minorEastAsia"/>
                <w:szCs w:val="22"/>
              </w:rPr>
              <w:t>本公司质量管理体系符合公司管理手册、程序性文件、</w:t>
            </w:r>
            <w:r>
              <w:rPr>
                <w:rFonts w:hint="eastAsia" w:asciiTheme="minorEastAsia" w:hAnsiTheme="minorEastAsia" w:eastAsiaTheme="minorEastAsia"/>
                <w:szCs w:val="22"/>
                <w:lang w:val="en-US" w:eastAsia="zh-CN"/>
              </w:rPr>
              <w:t>GB/T19001-2015</w:t>
            </w:r>
            <w:r>
              <w:rPr>
                <w:rFonts w:hint="eastAsia" w:asciiTheme="minorEastAsia" w:hAnsiTheme="minorEastAsia" w:eastAsiaTheme="minorEastAsia"/>
                <w:szCs w:val="22"/>
              </w:rPr>
              <w:t>的要求，本公司质量管理体系得到了有效实施，运行实施保持了适宜性。</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每年一次，</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cs="宋体"/>
                <w:sz w:val="21"/>
                <w:szCs w:val="21"/>
                <w:lang w:val="en-US" w:eastAsia="zh-CN"/>
              </w:rPr>
              <w:t>30</w:t>
            </w:r>
            <w:r>
              <w:rPr>
                <w:rFonts w:hint="eastAsia" w:ascii="宋体" w:hAnsi="宋体" w:eastAsia="宋体" w:cs="宋体"/>
                <w:sz w:val="21"/>
                <w:szCs w:val="21"/>
              </w:rPr>
              <w:t>日</w:t>
            </w:r>
            <w:r>
              <w:rPr>
                <w:rFonts w:hint="eastAsia" w:ascii="宋体" w:hAnsi="宋体" w:cs="宋体"/>
                <w:szCs w:val="22"/>
              </w:rPr>
              <w:t>管理评审。</w:t>
            </w:r>
          </w:p>
          <w:p>
            <w:pPr>
              <w:spacing w:line="360" w:lineRule="auto"/>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输入基本充分。</w:t>
            </w:r>
          </w:p>
          <w:p>
            <w:pPr>
              <w:spacing w:line="360" w:lineRule="auto"/>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pPr>
              <w:spacing w:line="360" w:lineRule="auto"/>
              <w:rPr>
                <w:b/>
                <w:color w:val="000000" w:themeColor="text1"/>
                <w:sz w:val="20"/>
                <w:szCs w:val="20"/>
              </w:rPr>
            </w:pPr>
            <w:r>
              <w:rPr>
                <w:rFonts w:hint="eastAsia" w:asciiTheme="minorEastAsia" w:hAnsiTheme="minorEastAsia" w:eastAsiaTheme="minorEastAsia"/>
                <w:szCs w:val="22"/>
              </w:rPr>
              <w:t>管理体系文件运行是有效的，方针和目标的贯彻是有效的。没有发生质量投诉，运行符合法律法规的要求。领导的重视为体系的运行创造了有利条件。为保证</w:t>
            </w:r>
            <w:r>
              <w:rPr>
                <w:rFonts w:hint="eastAsia" w:asciiTheme="minorEastAsia" w:hAnsiTheme="minorEastAsia" w:eastAsiaTheme="minorEastAsia"/>
                <w:szCs w:val="22"/>
                <w:lang w:val="en-US" w:eastAsia="zh-CN"/>
              </w:rPr>
              <w:t>质量</w:t>
            </w:r>
            <w:r>
              <w:rPr>
                <w:rFonts w:hint="eastAsia" w:asciiTheme="minorEastAsia" w:hAnsiTheme="minorEastAsia" w:eastAsiaTheme="minorEastAsia"/>
                <w:szCs w:val="22"/>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b/>
                <w:color w:val="000000" w:themeColor="text1"/>
                <w:spacing w:val="-20"/>
                <w:sz w:val="20"/>
                <w:szCs w:val="20"/>
              </w:rPr>
              <w:t xml:space="preserve">  </w:t>
            </w:r>
            <w:r>
              <w:rPr>
                <w:rFonts w:hint="eastAsia" w:ascii="Times New Roman" w:hAnsi="Times New Roman" w:eastAsia="宋体" w:cs="Times New Roman"/>
                <w:bCs/>
                <w:color w:val="000000" w:themeColor="text1"/>
                <w:szCs w:val="21"/>
              </w:rPr>
              <w:t>一阶段</w:t>
            </w:r>
            <w:r>
              <w:rPr>
                <w:rFonts w:hint="eastAsia" w:ascii="Times New Roman" w:hAnsi="Times New Roman" w:eastAsia="宋体" w:cs="Times New Roman"/>
                <w:bCs/>
                <w:color w:val="000000" w:themeColor="text1"/>
                <w:szCs w:val="21"/>
                <w:lang w:val="en-US" w:eastAsia="zh-CN"/>
              </w:rPr>
              <w:t>未</w:t>
            </w:r>
            <w:r>
              <w:rPr>
                <w:rFonts w:hint="eastAsia" w:ascii="Times New Roman" w:hAnsi="Times New Roman" w:eastAsia="宋体" w:cs="Times New Roman"/>
                <w:bCs/>
                <w:color w:val="000000" w:themeColor="text1"/>
                <w:szCs w:val="21"/>
              </w:rPr>
              <w:t>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360" w:lineRule="auto"/>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360" w:lineRule="auto"/>
              <w:ind w:left="-105" w:leftChars="-50" w:firstLine="402" w:firstLineChars="200"/>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8" o:spt="20" style="position:absolute;left:0pt;margin-left:210pt;margin-top:16.2pt;height:0pt;width:0pt;z-index:251660288;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360" w:lineRule="auto"/>
              <w:rPr>
                <w:b/>
                <w:color w:val="000000" w:themeColor="text1"/>
                <w:sz w:val="28"/>
                <w:szCs w:val="28"/>
              </w:rPr>
            </w:pPr>
            <w:r>
              <w:rPr>
                <w:rFonts w:hint="eastAsia" w:ascii="宋体" w:hAnsi="宋体" w:cs="宋体"/>
                <w:bCs/>
                <w:color w:val="000000" w:themeColor="text1"/>
                <w:szCs w:val="21"/>
              </w:rPr>
              <w:t>组织体系运行满足标准要求，既定目标能达成，向顾客提供稳定、合格产品，满足适用的质量法规要求，实施措施基本有效。体系运行基本适宜、充分、有效，基本建立自我完善机制。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default"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b/>
                <w:color w:val="000000" w:themeColor="text1"/>
                <w:lang w:val="en-US" w:eastAsia="zh-CN"/>
              </w:rPr>
              <w:t xml:space="preserve"> 陶粒的销售</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1512570</wp:posOffset>
            </wp:positionH>
            <wp:positionV relativeFrom="paragraph">
              <wp:posOffset>-76200</wp:posOffset>
            </wp:positionV>
            <wp:extent cx="607060" cy="50355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607060" cy="503555"/>
                    </a:xfrm>
                    <a:prstGeom prst="rect">
                      <a:avLst/>
                    </a:prstGeom>
                  </pic:spPr>
                </pic:pic>
              </a:graphicData>
            </a:graphic>
          </wp:anchor>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648970</wp:posOffset>
            </wp:positionH>
            <wp:positionV relativeFrom="paragraph">
              <wp:posOffset>78105</wp:posOffset>
            </wp:positionV>
            <wp:extent cx="607060" cy="503555"/>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6"/>
                    <a:stretch>
                      <a:fillRect/>
                    </a:stretch>
                  </pic:blipFill>
                  <pic:spPr>
                    <a:xfrm>
                      <a:off x="0" y="0"/>
                      <a:ext cx="607060" cy="50355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6</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8FE3F"/>
    <w:multiLevelType w:val="singleLevel"/>
    <w:tmpl w:val="8E98FE3F"/>
    <w:lvl w:ilvl="0" w:tentative="0">
      <w:start w:val="2"/>
      <w:numFmt w:val="decimal"/>
      <w:lvlText w:val="%1."/>
      <w:lvlJc w:val="left"/>
      <w:pPr>
        <w:tabs>
          <w:tab w:val="left" w:pos="312"/>
        </w:tabs>
      </w:pPr>
    </w:lvl>
  </w:abstractNum>
  <w:abstractNum w:abstractNumId="1">
    <w:nsid w:val="48421066"/>
    <w:multiLevelType w:val="singleLevel"/>
    <w:tmpl w:val="48421066"/>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B3772B"/>
    <w:rsid w:val="1F814BA7"/>
    <w:rsid w:val="2E640191"/>
    <w:rsid w:val="401C17BC"/>
    <w:rsid w:val="536552E4"/>
    <w:rsid w:val="5674011E"/>
    <w:rsid w:val="57DB0062"/>
    <w:rsid w:val="65E44D6E"/>
    <w:rsid w:val="76AB2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2021-07-08T02:08:21Z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3B58BCDBEEA1409DA401DED22A68F92A</vt:lpwstr>
  </property>
</Properties>
</file>