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销售部       </w:t>
            </w:r>
            <w:r>
              <w:rPr>
                <w:rFonts w:hint="eastAsia"/>
                <w:color w:val="auto"/>
                <w:sz w:val="24"/>
                <w:szCs w:val="24"/>
              </w:rPr>
              <w:t>主管领导：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李定军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郭力       </w:t>
            </w:r>
            <w:r>
              <w:rPr>
                <w:rFonts w:hint="eastAsia"/>
                <w:color w:val="auto"/>
                <w:sz w:val="24"/>
                <w:szCs w:val="24"/>
              </w:rPr>
              <w:t>审核时间：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2021年7月4日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审核条款：Q:5.3；6.2；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6.3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auto"/>
                <w:sz w:val="24"/>
                <w:szCs w:val="24"/>
              </w:rPr>
              <w:t>8.1；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8.2、8.3、8.4、</w:t>
            </w:r>
            <w:r>
              <w:rPr>
                <w:rFonts w:hint="eastAsia"/>
                <w:color w:val="auto"/>
                <w:sz w:val="24"/>
                <w:szCs w:val="24"/>
              </w:rPr>
              <w:t>8.5.1；8.5.2；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8.5.3、</w:t>
            </w:r>
            <w:r>
              <w:rPr>
                <w:rFonts w:hint="eastAsia"/>
                <w:color w:val="auto"/>
                <w:sz w:val="24"/>
                <w:szCs w:val="24"/>
              </w:rPr>
              <w:t>8.5.4；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8.5.5、</w:t>
            </w:r>
            <w:r>
              <w:rPr>
                <w:rFonts w:hint="eastAsia"/>
                <w:color w:val="auto"/>
                <w:sz w:val="24"/>
                <w:szCs w:val="24"/>
              </w:rPr>
              <w:t>8.5.6；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9.1、10.2、10.3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职责权限</w:t>
            </w:r>
          </w:p>
          <w:p>
            <w:pPr>
              <w:spacing w:line="360" w:lineRule="auto"/>
              <w:rPr>
                <w:rFonts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查《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公司岗位职责及任职要求</w:t>
            </w:r>
            <w:r>
              <w:rPr>
                <w:rFonts w:hint="eastAsia" w:ascii="宋体" w:hAnsi="宋体"/>
                <w:color w:val="auto"/>
                <w:szCs w:val="21"/>
              </w:rPr>
              <w:t>》，已经明确了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/>
                <w:color w:val="auto"/>
                <w:szCs w:val="21"/>
              </w:rPr>
              <w:t>的岗位职责，具体为：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主要职责如下：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a)负责公司的战略管理工作；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b)负责公司所需的对外接口工作；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c)负责制定实现本部门的Q目标及改进；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d)负责顾客要求的识别，顾客财产的管理、合同的制定和评审；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e)组织联络与拜访客户，了解客户需求、市场状况及销售进度；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f)负责公司市场调研、预测、评估；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g)负责编制销售计划并负责按顾客要求采购相关物资。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h)编制审定销售合同，确定销售产品的技术质量标准；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i)负责组织产品销售过程中质量管理工作；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j)负责销售过程中的数据分析，管理工作。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k)分解部门质量目标，制定管理方案，统计销售产品质量信息，分析销售产品质量；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l)责对供应商管理、考核.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m)供应商资质评审、再评价和绩效评价，完善供应商档案。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n)负责完成销售物资的采购业务的管理工作；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部门负责人熟悉本部门职责。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质量目标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查《部门质量目标分解表》该部门的质量目标为：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交货准时率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100%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不合格品控制过程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100%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进料合格率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≥98%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采购产品及时到货率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≥97%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顾客满意度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≥97分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2021年5</w:t>
            </w:r>
            <w:r>
              <w:rPr>
                <w:rFonts w:hint="eastAsia" w:ascii="宋体" w:hAnsi="宋体"/>
                <w:color w:val="auto"/>
                <w:szCs w:val="21"/>
              </w:rPr>
              <w:t>月《公司及各部门质量目标考核表》对部门目标进行考核，综合完成情况为：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交货准时率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100%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不合格品控制过程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100%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进料合格率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/>
                <w:color w:val="auto"/>
                <w:szCs w:val="21"/>
              </w:rPr>
              <w:t>%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采购产品及时到货率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/>
                <w:color w:val="auto"/>
                <w:szCs w:val="21"/>
              </w:rPr>
              <w:t>%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顾客满意度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97分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基本达到目标要求，目标量化情况良好。质量目标缺乏指标实际完成的实证性资料，已跟负责人沟通。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变更的策划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质量手册中对质量管理体系的变更需求及时机、内容、影响方面进行了策划，变更的时机包括了：质量管理体系的建立和实施的初始阶段；组织机构、环境发生变化；利益相关方的需求和期望方面的任何变化等。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对变更的影响方面进行了识别并制定了对策：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1）变更的目的和任何潜在的后果，变更有可能带来好的结果，也可能带来风险和挑战，如产品质量差而导致交付后不能如期达标，所以，进行变更的策划时，应考虑充分，未雨绸缪。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）在对质量管理体系的变更进行策划和实施时，保持质量管理体系的完整性:体系变更的策划应充分，如服务方式变更后，作业文件要发生变更，需对员工进行培训，这都需要系统考虑，这样才能保持体系的完整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3）资源的可获取性：体系变更后，如增加新产品时，策划了资源的配置，如人员能力等方面。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4）职责和权限的分配或调整：公司职能和权限进行重大调整时，应确保相应文件的变更，同时确保员工能够进行文件的沟通和学习，以确保体系的完整性。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在实施变更时，公司考虑了其对目前质量管理体系范围的影响。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目前企业无变更情况。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</w:trPr>
        <w:tc>
          <w:tcPr>
            <w:tcW w:w="216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公司主要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陶粒的销售。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公司产品执行标准：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水处理用人工陶粒滤料CJ/T 299-2008、陶粒发泡混凝土砌块GB/T 36534-2018、陶粒泡沫混凝土JC/T 2459-2018、陶粒加气混凝土砌块JG/T 504-2016、陶粒滤料QB/T 4383-2012、陶粒用钢渣粉YB/T 4728-2018、中华人民共和国公司法、中华人民共和国合同法、中华人民共和国产品质量法、中华人民共和国安全生产法、中华人民共和国招标投标法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策划输出的具体结果包括以下内容：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a）确定产品和服务的要求；--产品标准、编程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b）建立过程准则以及产品和服务的接收准则；---检验标准、操作规程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c）确定符合产品和服务要求的资源；---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/>
                <w:color w:val="auto"/>
                <w:szCs w:val="21"/>
              </w:rPr>
              <w:t>流程图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d）按照准则实施过程控制；---生产和服务过程监控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e）保持、保留必要的文件和记录。---文件和质量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---策划输出经过评审及跟进、必要的更改控制及批准等以适合组织的运行需要。</w:t>
            </w:r>
          </w:p>
          <w:p>
            <w:pPr>
              <w:widowControl/>
              <w:spacing w:line="360" w:lineRule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----需确认/特殊过程：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销售服务过程。</w:t>
            </w:r>
          </w:p>
          <w:p>
            <w:pPr>
              <w:widowControl/>
              <w:spacing w:line="360" w:lineRule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----外包过程：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运输过程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----经确认：暂无策划的更改。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  <w:t>顾客沟通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  <w:t>Q8.2.1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负责人介绍沟通方式主要是电话、传真、资料传递、公司网站、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宣传页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等形式宣传本公司有关产品及公司的有关信誉等。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针对合同洽谈、签订、履行过程中的问题，及时电话联系，明确各自的要求，执行合同。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目前沟通效果良好。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与产品和服务有关要求的确认、与产品有关要求评审</w:t>
            </w:r>
          </w:p>
          <w:p>
            <w:pPr>
              <w:pStyle w:val="2"/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t>与产品有关要求的更改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3"/>
              <w:tabs>
                <w:tab w:val="left" w:pos="3510"/>
                <w:tab w:val="left" w:pos="3585"/>
                <w:tab w:val="center" w:pos="4410"/>
                <w:tab w:val="left" w:pos="4620"/>
                <w:tab w:val="left" w:pos="4830"/>
                <w:tab w:val="left" w:pos="5580"/>
              </w:tabs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hint="eastAsia"/>
                <w:color w:val="auto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  <w:t>Q8.2.2、 Q8.2.3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楷体" w:hAnsi="楷体" w:eastAsia="楷体" w:cs="Arial"/>
                <w:color w:val="auto"/>
                <w:sz w:val="24"/>
                <w:szCs w:val="24"/>
              </w:rPr>
              <w:t>Q8.2.4</w:t>
            </w:r>
            <w:r>
              <w:rPr>
                <w:rFonts w:ascii="楷体" w:hAnsi="楷体" w:eastAsia="楷体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销售部</w:t>
            </w:r>
            <w:r>
              <w:rPr>
                <w:rFonts w:hint="eastAsia"/>
                <w:color w:val="auto"/>
              </w:rPr>
              <w:t>经理介绍：通过招标会、市场调查、客户的走访、电话、传真了解市场的需求状态。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主要业务以招标文件、订单、合同、电话、</w:t>
            </w:r>
            <w:r>
              <w:rPr>
                <w:rFonts w:hint="eastAsia"/>
                <w:color w:val="auto"/>
                <w:lang w:val="en-US" w:eastAsia="zh-CN"/>
              </w:rPr>
              <w:t>网络、微信、</w:t>
            </w:r>
            <w:r>
              <w:rPr>
                <w:rFonts w:hint="eastAsia"/>
                <w:color w:val="auto"/>
              </w:rPr>
              <w:t>邮件、传真等形式确定与产品有关的要求，均已保存或进行相应的记录。对顾客的要求由</w:t>
            </w:r>
            <w:r>
              <w:rPr>
                <w:rFonts w:hint="eastAsia"/>
                <w:color w:val="auto"/>
                <w:lang w:eastAsia="zh-CN"/>
              </w:rPr>
              <w:t>销售部</w:t>
            </w:r>
            <w:r>
              <w:rPr>
                <w:rFonts w:hint="eastAsia"/>
                <w:color w:val="auto"/>
              </w:rPr>
              <w:t>内勤直接对顾客要求进行识别、确认，对于存在的问题直接提出和顾客进行交流沟通，在合同签订前在公司微信群内对合同的要求进行评审。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李定军</w:t>
            </w:r>
            <w:r>
              <w:rPr>
                <w:rFonts w:hint="eastAsia"/>
                <w:color w:val="auto"/>
              </w:rPr>
              <w:t>经理介绍，</w:t>
            </w:r>
            <w:r>
              <w:rPr>
                <w:rFonts w:hint="eastAsia"/>
                <w:color w:val="auto"/>
                <w:lang w:val="en-US" w:eastAsia="zh-CN"/>
              </w:rPr>
              <w:t>公司的销售订单来源主要由销售人员与顾客洽谈，了解顾客的需求，并签订《购销合同》，这种方式的订货量一般较大。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企业收到客户需求后，</w:t>
            </w:r>
            <w:r>
              <w:rPr>
                <w:rFonts w:hint="eastAsia"/>
                <w:color w:val="auto"/>
                <w:lang w:val="en-US" w:eastAsia="zh-CN"/>
              </w:rPr>
              <w:t>由</w:t>
            </w:r>
            <w:r>
              <w:rPr>
                <w:rFonts w:hint="eastAsia"/>
                <w:color w:val="auto"/>
                <w:lang w:eastAsia="zh-CN"/>
              </w:rPr>
              <w:t>销售部</w:t>
            </w:r>
            <w:r>
              <w:rPr>
                <w:rFonts w:hint="eastAsia"/>
                <w:color w:val="auto"/>
              </w:rPr>
              <w:t>负责人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售后部负责人等相关部门负责人及</w:t>
            </w:r>
            <w:r>
              <w:rPr>
                <w:rFonts w:hint="eastAsia"/>
                <w:color w:val="auto"/>
              </w:rPr>
              <w:t>总经理予以评审，没有异议可以满足要求后才签订</w:t>
            </w:r>
            <w:r>
              <w:rPr>
                <w:rFonts w:hint="eastAsia"/>
                <w:color w:val="auto"/>
                <w:lang w:val="en-US" w:eastAsia="zh-CN"/>
              </w:rPr>
              <w:t>购销</w:t>
            </w:r>
            <w:r>
              <w:rPr>
                <w:rFonts w:hint="eastAsia"/>
                <w:color w:val="auto"/>
              </w:rPr>
              <w:t>合同，合同经总经理或其授权人签字并加盖企业公章视同经过合同评审，然后回传给客户作为可以满足要求的承诺，合同评审均是在合同回传给客户之前进行。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合同：</w:t>
            </w:r>
            <w:r>
              <w:rPr>
                <w:rFonts w:hint="eastAsia" w:cs="Times New Roman"/>
                <w:color w:val="auto"/>
                <w:lang w:val="en-US" w:eastAsia="zh-CN"/>
              </w:rPr>
              <w:t>湖北五三建设有限公司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的《</w:t>
            </w:r>
            <w:r>
              <w:rPr>
                <w:rFonts w:hint="eastAsia" w:cs="Times New Roman"/>
                <w:color w:val="auto"/>
                <w:lang w:val="en-US" w:eastAsia="zh-CN"/>
              </w:rPr>
              <w:t>采购合同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》：产品</w:t>
            </w:r>
            <w:r>
              <w:rPr>
                <w:rFonts w:hint="eastAsia" w:cs="Times New Roman"/>
                <w:color w:val="auto"/>
                <w:lang w:val="en-US" w:eastAsia="zh-CN"/>
              </w:rPr>
              <w:t>名称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：</w:t>
            </w:r>
            <w:r>
              <w:rPr>
                <w:rFonts w:hint="eastAsia" w:cs="Times New Roman"/>
                <w:color w:val="auto"/>
                <w:lang w:val="en-US" w:eastAsia="zh-CN"/>
              </w:rPr>
              <w:t>页岩陶粒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，品名规格：</w:t>
            </w:r>
            <w:r>
              <w:rPr>
                <w:rFonts w:hint="eastAsia" w:cs="Times New Roman"/>
                <w:color w:val="auto"/>
                <w:lang w:val="en-US" w:eastAsia="zh-CN"/>
              </w:rPr>
              <w:t>10-15mm，500级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，销货数量：</w:t>
            </w:r>
            <w:r>
              <w:rPr>
                <w:rFonts w:hint="eastAsia" w:cs="Times New Roman"/>
                <w:color w:val="auto"/>
                <w:lang w:val="en-US" w:eastAsia="zh-CN"/>
              </w:rPr>
              <w:t>57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  <w:r>
              <w:rPr>
                <w:rFonts w:hint="eastAsia" w:cs="Times New Roman"/>
                <w:color w:val="auto"/>
                <w:lang w:val="en-US" w:eastAsia="zh-CN"/>
              </w:rPr>
              <w:t>立方米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，</w:t>
            </w:r>
            <w:r>
              <w:rPr>
                <w:rFonts w:hint="eastAsia" w:cs="Times New Roman"/>
                <w:color w:val="auto"/>
                <w:lang w:val="en-US" w:eastAsia="zh-CN"/>
              </w:rPr>
              <w:t>签订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日期：2021.</w:t>
            </w:r>
            <w:r>
              <w:rPr>
                <w:rFonts w:hint="eastAsia" w:cs="Times New Roman"/>
                <w:color w:val="auto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.1</w:t>
            </w:r>
            <w:r>
              <w:rPr>
                <w:rFonts w:hint="eastAsia" w:cs="Times New Roman"/>
                <w:color w:val="auto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。提供了《合同、订单评审表》：21年</w:t>
            </w:r>
            <w:r>
              <w:rPr>
                <w:rFonts w:hint="eastAsia" w:cs="Times New Roman"/>
                <w:color w:val="auto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月15</w:t>
            </w:r>
            <w:r>
              <w:rPr>
                <w:rFonts w:hint="eastAsia" w:cs="Times New Roman"/>
                <w:color w:val="auto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日，由各个部门进行了评审：行政部：能否保证物料供应；销售部：合同是否合法、完整性、条款是否明确、客户商业信誉良好；售后部：能否保证产品的质量；评审结论：是否同意接受该订单/合同。各部门负责人均有确认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3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3"/>
              <w:keepNext/>
              <w:widowControl w:val="0"/>
              <w:numPr>
                <w:ilvl w:val="0"/>
                <w:numId w:val="0"/>
              </w:numPr>
              <w:tabs>
                <w:tab w:val="left" w:pos="3510"/>
                <w:tab w:val="left" w:pos="3585"/>
                <w:tab w:val="center" w:pos="4410"/>
                <w:tab w:val="left" w:pos="4620"/>
                <w:tab w:val="left" w:pos="4830"/>
                <w:tab w:val="left" w:pos="5580"/>
              </w:tabs>
              <w:spacing w:line="360" w:lineRule="auto"/>
              <w:jc w:val="both"/>
              <w:outlineLvl w:val="1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4197350</wp:posOffset>
                  </wp:positionH>
                  <wp:positionV relativeFrom="paragraph">
                    <wp:posOffset>123190</wp:posOffset>
                  </wp:positionV>
                  <wp:extent cx="1831340" cy="2747010"/>
                  <wp:effectExtent l="0" t="0" r="10160" b="8890"/>
                  <wp:wrapNone/>
                  <wp:docPr id="13" name="图片 13" descr="扫描全能王 2021-07-03 10.10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扫描全能王 2021-07-03 10.10_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274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2070100</wp:posOffset>
                  </wp:positionH>
                  <wp:positionV relativeFrom="paragraph">
                    <wp:posOffset>120650</wp:posOffset>
                  </wp:positionV>
                  <wp:extent cx="1944370" cy="2750185"/>
                  <wp:effectExtent l="0" t="0" r="11430" b="5715"/>
                  <wp:wrapNone/>
                  <wp:docPr id="12" name="图片 12" descr="扫描全能王 2021-07-03 10.1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扫描全能王 2021-07-03 10.10_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370" cy="275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120650</wp:posOffset>
                  </wp:positionV>
                  <wp:extent cx="1917065" cy="2732405"/>
                  <wp:effectExtent l="0" t="0" r="635" b="10795"/>
                  <wp:wrapNone/>
                  <wp:docPr id="11" name="图片 11" descr="扫描全能王 2021-07-03 10.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扫描全能王 2021-07-03 10.10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273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再抽查合同：</w:t>
            </w:r>
            <w:r>
              <w:rPr>
                <w:rFonts w:hint="eastAsia" w:cs="Times New Roman"/>
                <w:color w:val="auto"/>
                <w:lang w:val="en-US" w:eastAsia="zh-CN"/>
              </w:rPr>
              <w:t>敦煌首航节能新能源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有限公司的《</w:t>
            </w:r>
            <w:r>
              <w:rPr>
                <w:rFonts w:hint="eastAsia" w:cs="Times New Roman"/>
                <w:color w:val="auto"/>
                <w:lang w:val="en-US" w:eastAsia="zh-CN"/>
              </w:rPr>
              <w:t>陶粒买卖合同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》：品号：</w:t>
            </w:r>
            <w:r>
              <w:rPr>
                <w:rFonts w:hint="eastAsia" w:cs="Times New Roman"/>
                <w:color w:val="auto"/>
                <w:lang w:val="en-US" w:eastAsia="zh-CN"/>
              </w:rPr>
              <w:t>SHJN-DHGR(二)-075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，品名规格：</w:t>
            </w:r>
            <w:r>
              <w:rPr>
                <w:rFonts w:hint="eastAsia" w:cs="Times New Roman"/>
                <w:color w:val="auto"/>
                <w:lang w:val="en-US" w:eastAsia="zh-CN"/>
              </w:rPr>
              <w:t>陶粒，规格：2-20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，数量：</w:t>
            </w:r>
            <w:r>
              <w:rPr>
                <w:rFonts w:hint="eastAsia" w:cs="Times New Roman"/>
                <w:color w:val="auto"/>
                <w:lang w:val="en-US" w:eastAsia="zh-CN"/>
              </w:rPr>
              <w:t>45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00</w:t>
            </w:r>
            <w:r>
              <w:rPr>
                <w:rFonts w:hint="eastAsia" w:cs="Times New Roman"/>
                <w:color w:val="auto"/>
                <w:lang w:val="en-US" w:eastAsia="zh-CN"/>
              </w:rPr>
              <w:t>立方米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，</w:t>
            </w:r>
            <w:r>
              <w:rPr>
                <w:rFonts w:hint="eastAsia" w:cs="Times New Roman"/>
                <w:color w:val="auto"/>
                <w:lang w:val="en-US" w:eastAsia="zh-CN"/>
              </w:rPr>
              <w:t>签订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日期：2021.</w:t>
            </w:r>
            <w:r>
              <w:rPr>
                <w:rFonts w:hint="eastAsia" w:cs="Times New Roman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.25。提供了《合同、订单评审表》：21年</w:t>
            </w:r>
            <w:r>
              <w:rPr>
                <w:rFonts w:hint="eastAsia" w:cs="Times New Roman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月</w:t>
            </w:r>
            <w:r>
              <w:rPr>
                <w:rFonts w:hint="eastAsia" w:cs="Times New Roman"/>
                <w:color w:val="auto"/>
                <w:lang w:val="en-US" w:eastAsia="zh-CN"/>
              </w:rPr>
              <w:t>24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日，由各个部门进行了评审：行政部：能否保证物料供应；销售部：合同是否合法、完整性、条款是否明确、客户商业信誉良好；售后部：能否保证产品的质量；评审结论：是否同意接受该订单/合同。各部门负责人均有确认。</w:t>
            </w:r>
          </w:p>
          <w:p>
            <w:pPr>
              <w:pStyle w:val="4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4152900</wp:posOffset>
                  </wp:positionH>
                  <wp:positionV relativeFrom="paragraph">
                    <wp:posOffset>74930</wp:posOffset>
                  </wp:positionV>
                  <wp:extent cx="1851660" cy="2732405"/>
                  <wp:effectExtent l="0" t="0" r="2540" b="10795"/>
                  <wp:wrapNone/>
                  <wp:docPr id="16" name="图片 16" descr="扫描全能王 2021-07-03 10.10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扫描全能王 2021-07-03 10.10_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273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68580</wp:posOffset>
                  </wp:positionV>
                  <wp:extent cx="1916430" cy="2738120"/>
                  <wp:effectExtent l="0" t="0" r="1270" b="5080"/>
                  <wp:wrapNone/>
                  <wp:docPr id="15" name="图片 15" descr="扫描全能王 2021-07-03 10.10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扫描全能王 2021-07-03 10.10_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30" cy="273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71120</wp:posOffset>
                  </wp:positionV>
                  <wp:extent cx="1951355" cy="2712085"/>
                  <wp:effectExtent l="0" t="0" r="4445" b="5715"/>
                  <wp:wrapNone/>
                  <wp:docPr id="14" name="图片 14" descr="扫描全能王 2021-07-03 10.10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扫描全能王 2021-07-03 10.10_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271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再查看了与上海蓝滨石化设备有限责任公司的关于陶粒的合同、订单，均进行了合同评审，能够满足要求。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李定军经理介绍：生合同更改的情况，询问对更改情况的控制较为明确清楚。 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产品和服务的设计和开发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企业涉及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陶粒的销售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，不适用故GB/T19001-2016标准中8.3“产品和服务的设计和开发”条款的要求。不影响组织确保其产品和服务合格的能力或责任，对增强顾客满意也不会产生影响。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外部提供过程、产品和服务过程管理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8.4.1总则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8.4.2外部供方的控制类型和程度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8.4.3提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供给外部供方的信息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编制的《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外部供方控制程序</w:t>
            </w:r>
            <w:r>
              <w:rPr>
                <w:rFonts w:hint="eastAsia"/>
                <w:color w:val="auto"/>
                <w:sz w:val="21"/>
                <w:szCs w:val="21"/>
              </w:rPr>
              <w:t>》中，确定了对外部供方实施的具体控制要求，旨在确保产品能够按计划提供，并符合要求，为确保外部提供的过程、产品不会对企业稳定地向顾客提供合格的产品的能力产生不利影响。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负责人讲，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/>
                <w:color w:val="auto"/>
                <w:sz w:val="21"/>
                <w:szCs w:val="21"/>
              </w:rPr>
              <w:t>建立合格供方名录，核定《供方评价表》后，编制《合格供方名单》存档。采购人员应该具备相应能力。采购人员应从《合格供方名录》中选择供方。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提供《合格供方名单》: 主要供应商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家，如下：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合格供方名称                    供应产品名称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宜城市明信陶粒有限公司              陶粒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查 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日对供方的调查及评价。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针对合格供方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宜城市明信陶粒有限公司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的评价：评价内容：企业资质、供货能力、产品质量、交货期、价格、售后服务等；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符合相关规定，可继续纳入合格供方。评价人：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李定军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日  批准人：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张士兴</w:t>
            </w:r>
          </w:p>
          <w:p>
            <w:pPr>
              <w:spacing w:line="360" w:lineRule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本公司需求物资的采购信息由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负责，通过签订书面采购订单方式向合格供方进行产品采购。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公司编制了《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外部供方控制程序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》，要求采购的材料必须进行检验。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公司对产品外观、型号规格、数量、合格证等进行了验收。经询问公司采购产品主要根据需求，根据进货检验记录对相关产品的数量、规格型号等进行检验。抽查验证记录《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来料检验记录表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》，详见8.6条款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基本符合要求。现场查看采购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均按要求进行验证入库。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公司外部供方的管理基本符合要求。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负责人讲与供方沟通的内容包括：所提供的过程、产品和服务等；采购物资根据签订采购合同进产品的名称、规格、型号、数量等采购信息的确定。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抽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购销合同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,供方：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宜城市明信陶粒有限公司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签订日期：2021-3-18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品名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规  格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数量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ab/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陶粒           3-20               3200立方米</w:t>
            </w: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90170</wp:posOffset>
                  </wp:positionV>
                  <wp:extent cx="2134235" cy="3078480"/>
                  <wp:effectExtent l="0" t="0" r="12065" b="7620"/>
                  <wp:wrapNone/>
                  <wp:docPr id="18" name="图片 18" descr="扫描全能王 2021-07-03 10.10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扫描全能王 2021-07-03 10.10_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235" cy="307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89535</wp:posOffset>
                  </wp:positionV>
                  <wp:extent cx="2138045" cy="3086100"/>
                  <wp:effectExtent l="0" t="0" r="8255" b="0"/>
                  <wp:wrapNone/>
                  <wp:docPr id="17" name="图片 17" descr="扫描全能王 2021-07-03 10.10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扫描全能王 2021-07-03 10.10_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045" cy="30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另抽其采购计划单，均保存完好，符合要求。</w:t>
            </w:r>
          </w:p>
          <w:p>
            <w:pPr>
              <w:spacing w:line="360" w:lineRule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编制：</w:t>
            </w:r>
            <w:r>
              <w:rPr>
                <w:rFonts w:hint="eastAsia" w:ascii="宋体"/>
                <w:color w:val="auto"/>
                <w:sz w:val="21"/>
                <w:szCs w:val="21"/>
                <w:lang w:eastAsia="zh-CN"/>
              </w:rPr>
              <w:t>销售部：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李定军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负责人讲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以来，未出现采购产品有质量不符合的情况。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材料检验见</w:t>
            </w:r>
            <w:r>
              <w:rPr>
                <w:color w:val="auto"/>
                <w:sz w:val="21"/>
                <w:szCs w:val="21"/>
              </w:rPr>
              <w:t>8.6</w:t>
            </w:r>
            <w:r>
              <w:rPr>
                <w:rFonts w:hint="eastAsia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产品和服务提供的控制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Q:8.5.1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公司产品服务主要为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陶粒的销售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基本服务流程：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销售服务流程：接客户订单---订单评审—产品采购---采购产品的检验—产品接收—送货---售后服务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/>
                <w:color w:val="auto"/>
                <w:sz w:val="21"/>
                <w:szCs w:val="21"/>
              </w:rPr>
              <w:t>按照策划的流程提供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陶粒的销售</w:t>
            </w:r>
            <w:r>
              <w:rPr>
                <w:rFonts w:hint="eastAsia"/>
                <w:color w:val="auto"/>
                <w:sz w:val="21"/>
                <w:szCs w:val="21"/>
              </w:rPr>
              <w:t>。有相关手册、程序文件以及作业文件等，如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营销业务规范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《顾客满意度调查管理规定》、《发货验收单》、《销售服务质量监测记录表》等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查销售合同</w:t>
            </w:r>
            <w:r>
              <w:rPr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订单</w:t>
            </w:r>
            <w:r>
              <w:rPr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报价单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详见8.2条款；查《采购订单》详见8.4条款；</w:t>
            </w:r>
          </w:p>
          <w:p>
            <w:pPr>
              <w:pStyle w:val="2"/>
              <w:spacing w:line="360" w:lineRule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461010</wp:posOffset>
                  </wp:positionV>
                  <wp:extent cx="2118360" cy="2997835"/>
                  <wp:effectExtent l="0" t="0" r="2540" b="12065"/>
                  <wp:wrapNone/>
                  <wp:docPr id="19" name="图片 19" descr="扫描全能王 2021-07-03 11.40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扫描全能王 2021-07-03 11.40_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299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查供应商的《发货验收单》：2021.1.5日，客户：上海蓝滨石化设备有限责任公司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，送货3200立方米；2021.3.29日.</w:t>
            </w: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16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《销售服务质量监测记录表》，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日期：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对销售人员李定军在销售过程中的服务质量进行了检查，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检查考评涉及内容：包装质量、发货产品规格、数量、销售流程、服务人员态度、售后服务过程等，检查结果符合，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评价人：胡龙强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16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1924050</wp:posOffset>
                  </wp:positionH>
                  <wp:positionV relativeFrom="paragraph">
                    <wp:posOffset>65405</wp:posOffset>
                  </wp:positionV>
                  <wp:extent cx="2322195" cy="3374390"/>
                  <wp:effectExtent l="0" t="0" r="1905" b="3810"/>
                  <wp:wrapNone/>
                  <wp:docPr id="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95" cy="337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16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16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16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16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16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16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16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16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16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16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查销售部未能提供特殊过程销售服务过程的确认记录。</w:t>
            </w:r>
          </w:p>
          <w:p>
            <w:pPr>
              <w:pStyle w:val="16"/>
              <w:spacing w:line="360" w:lineRule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销售过程基本符合要求。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标识及可追溯性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ind w:right="-158" w:rightChars="-75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8.5.2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查《质量手册》，文件规定了对产品、检验状态及唯一性标识做出了规定。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1．在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仓库</w:t>
            </w:r>
            <w:r>
              <w:rPr>
                <w:rFonts w:hint="eastAsia" w:ascii="宋体" w:hAnsi="宋体"/>
                <w:color w:val="auto"/>
                <w:szCs w:val="21"/>
              </w:rPr>
              <w:t>现场，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采购的产品</w:t>
            </w:r>
            <w:r>
              <w:rPr>
                <w:rFonts w:hint="eastAsia" w:ascii="宋体" w:hAnsi="宋体"/>
                <w:color w:val="auto"/>
                <w:szCs w:val="21"/>
              </w:rPr>
              <w:t>采用打印标识，标识：产品代号等；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2．通过产品检验记录进行追溯，主要记录内容：检验日期，产品型号、品名、数量等；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顾客财产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8.5.3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公司的顾客或外部供方的财产主要是客户信息等，如有丢失、损坏或不适用的情况发生，应由使用部门及时记录在《顾客及外部供方财产表》中，与顾客协商解决。自体系运行以来尚无顾客财产问题记录。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防护</w:t>
            </w:r>
          </w:p>
        </w:tc>
        <w:tc>
          <w:tcPr>
            <w:tcW w:w="96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8.5.4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查，公司文件，对产品的防护进行了要求，主要为产品在储运过程的防护。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color w:val="auto"/>
                <w:szCs w:val="21"/>
              </w:rPr>
              <w:t>观察现场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. 包装：公司的产品采用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防雨布防护</w:t>
            </w:r>
            <w:r>
              <w:rPr>
                <w:rFonts w:hint="eastAsia" w:ascii="宋体" w:hAnsi="宋体"/>
                <w:color w:val="auto"/>
                <w:szCs w:val="21"/>
              </w:rPr>
              <w:t>，防护效果较好；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. 运输过程管理：要求运输方进行防护，不得淋雨、震动。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查看成品，均按要求放置，防护得当。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产品防护基本符合要求。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交付后的活动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8.5.5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交付后的活动：交付后的活动主要是售后服务，产品交付后，按照签订的合同条款实施售后服务，公司做出了售后服务承诺，明确有电话技术支持、投诉电话等内容。通过电话、网络等方式与客户交流沟通，了解顾客意见及建议。并将获得信息及时反馈到相关部门进行处理。自体系运行以来尚未发生客户反馈及投诉情况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更改控制</w:t>
            </w:r>
          </w:p>
        </w:tc>
        <w:tc>
          <w:tcPr>
            <w:tcW w:w="96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8.5.6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查，公司对产品实现过程的更改策划了管理要求。主要包括：产品信息更改等。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现场查，公司对于更改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color w:val="auto"/>
                <w:szCs w:val="21"/>
              </w:rPr>
              <w:t>信息的管理，均为重新发放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销售订单变更</w:t>
            </w:r>
            <w:r>
              <w:rPr>
                <w:rFonts w:hint="eastAsia" w:ascii="宋体" w:hAnsi="宋体"/>
                <w:color w:val="auto"/>
                <w:szCs w:val="21"/>
              </w:rPr>
              <w:t>，并回收作废的计划单。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查，近期暂无产品信息变更的情况。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分析与评价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color w:val="auto"/>
              </w:rPr>
              <w:t>9.1.3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公司通过质量目标考核、内审、管理评审等对体系的有效性进行评价。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）提供了顾客满意调查表，并进行了分析。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）对过程产品质量进行了统计分析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）对采购物资进行验证。根据验收结果，证明供方提供的产品质量是稳定的</w:t>
            </w:r>
            <w:r>
              <w:rPr>
                <w:color w:val="auto"/>
              </w:rPr>
              <w:t>.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  <w:r>
              <w:rPr>
                <w:rFonts w:hint="eastAsia"/>
                <w:color w:val="auto"/>
              </w:rPr>
              <w:t>）通过内审中发现的不符合，确定改进措施并实施。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>）通过管理评审，提出改进措施，以便发现改进方向。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改进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：10.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、10.3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管理者代表组织持续改进过程的策划工作，由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质量、环保、职业健康意识、安全意识有较大的提高，持续改进了管理体系的有效性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955467"/>
    <w:rsid w:val="01B91F0E"/>
    <w:rsid w:val="01F2593E"/>
    <w:rsid w:val="032F06A0"/>
    <w:rsid w:val="056A6974"/>
    <w:rsid w:val="05CF4491"/>
    <w:rsid w:val="07AE3962"/>
    <w:rsid w:val="08620420"/>
    <w:rsid w:val="091B1591"/>
    <w:rsid w:val="0A7F14E1"/>
    <w:rsid w:val="0A980F39"/>
    <w:rsid w:val="0B963E64"/>
    <w:rsid w:val="0BE00CD9"/>
    <w:rsid w:val="0C250297"/>
    <w:rsid w:val="0CA10B0D"/>
    <w:rsid w:val="0D520498"/>
    <w:rsid w:val="0EEA758E"/>
    <w:rsid w:val="10B5177B"/>
    <w:rsid w:val="112114A7"/>
    <w:rsid w:val="11705158"/>
    <w:rsid w:val="121C156E"/>
    <w:rsid w:val="12B91834"/>
    <w:rsid w:val="12FE3099"/>
    <w:rsid w:val="13603D92"/>
    <w:rsid w:val="138166F3"/>
    <w:rsid w:val="139660C3"/>
    <w:rsid w:val="151754E9"/>
    <w:rsid w:val="1554306A"/>
    <w:rsid w:val="15FC55F0"/>
    <w:rsid w:val="16ED6515"/>
    <w:rsid w:val="182C08C8"/>
    <w:rsid w:val="1910334A"/>
    <w:rsid w:val="194320F8"/>
    <w:rsid w:val="196E749C"/>
    <w:rsid w:val="1A474BC3"/>
    <w:rsid w:val="1AC90A38"/>
    <w:rsid w:val="1D665678"/>
    <w:rsid w:val="1DFC1A86"/>
    <w:rsid w:val="1E660527"/>
    <w:rsid w:val="20BA674B"/>
    <w:rsid w:val="21EA73C7"/>
    <w:rsid w:val="22BD1220"/>
    <w:rsid w:val="24057A64"/>
    <w:rsid w:val="244D4C9D"/>
    <w:rsid w:val="25A05C31"/>
    <w:rsid w:val="264B58C9"/>
    <w:rsid w:val="26AB1BEB"/>
    <w:rsid w:val="26DB2CE3"/>
    <w:rsid w:val="26FC2EAB"/>
    <w:rsid w:val="273260AF"/>
    <w:rsid w:val="284A13E7"/>
    <w:rsid w:val="28936903"/>
    <w:rsid w:val="28FB1555"/>
    <w:rsid w:val="2A2A7B8D"/>
    <w:rsid w:val="2B216E5F"/>
    <w:rsid w:val="2B766804"/>
    <w:rsid w:val="2BC92F43"/>
    <w:rsid w:val="2D320CAA"/>
    <w:rsid w:val="2DB0638C"/>
    <w:rsid w:val="30570FAD"/>
    <w:rsid w:val="307F0F34"/>
    <w:rsid w:val="31137B7F"/>
    <w:rsid w:val="31582748"/>
    <w:rsid w:val="32A723C4"/>
    <w:rsid w:val="33520DE7"/>
    <w:rsid w:val="33B20F94"/>
    <w:rsid w:val="3623133F"/>
    <w:rsid w:val="362C6554"/>
    <w:rsid w:val="36475907"/>
    <w:rsid w:val="36B96401"/>
    <w:rsid w:val="37C67725"/>
    <w:rsid w:val="382D2ED9"/>
    <w:rsid w:val="38891972"/>
    <w:rsid w:val="38B73003"/>
    <w:rsid w:val="39585B7B"/>
    <w:rsid w:val="3C823BAE"/>
    <w:rsid w:val="3E5B3723"/>
    <w:rsid w:val="3E886542"/>
    <w:rsid w:val="412B2244"/>
    <w:rsid w:val="42173254"/>
    <w:rsid w:val="44851FE9"/>
    <w:rsid w:val="45800BBB"/>
    <w:rsid w:val="46385546"/>
    <w:rsid w:val="46DF6C6F"/>
    <w:rsid w:val="48121014"/>
    <w:rsid w:val="48CA40A0"/>
    <w:rsid w:val="490F7B52"/>
    <w:rsid w:val="49971ECB"/>
    <w:rsid w:val="4B106B17"/>
    <w:rsid w:val="4B2C6C04"/>
    <w:rsid w:val="4D525D2B"/>
    <w:rsid w:val="4DD32F5F"/>
    <w:rsid w:val="4EBF5887"/>
    <w:rsid w:val="4F8D2D62"/>
    <w:rsid w:val="50505304"/>
    <w:rsid w:val="515744E7"/>
    <w:rsid w:val="531E1A75"/>
    <w:rsid w:val="542A337A"/>
    <w:rsid w:val="543A3B58"/>
    <w:rsid w:val="54786E61"/>
    <w:rsid w:val="55B87A5D"/>
    <w:rsid w:val="56195A3A"/>
    <w:rsid w:val="56D730F1"/>
    <w:rsid w:val="57AD6C68"/>
    <w:rsid w:val="58F0430A"/>
    <w:rsid w:val="59AD2D6A"/>
    <w:rsid w:val="5C937918"/>
    <w:rsid w:val="606A2053"/>
    <w:rsid w:val="61452F71"/>
    <w:rsid w:val="624D7813"/>
    <w:rsid w:val="63026652"/>
    <w:rsid w:val="63B173AA"/>
    <w:rsid w:val="64346341"/>
    <w:rsid w:val="64685BB9"/>
    <w:rsid w:val="654B3314"/>
    <w:rsid w:val="654C2A4F"/>
    <w:rsid w:val="6552491B"/>
    <w:rsid w:val="65597D04"/>
    <w:rsid w:val="65CE2F52"/>
    <w:rsid w:val="666810D7"/>
    <w:rsid w:val="66EA60EB"/>
    <w:rsid w:val="67C82ACA"/>
    <w:rsid w:val="680C725C"/>
    <w:rsid w:val="68602915"/>
    <w:rsid w:val="68F038BA"/>
    <w:rsid w:val="69251D72"/>
    <w:rsid w:val="69E16172"/>
    <w:rsid w:val="6BD30F3D"/>
    <w:rsid w:val="6D2E60C5"/>
    <w:rsid w:val="707F382D"/>
    <w:rsid w:val="70931EB4"/>
    <w:rsid w:val="70D519F3"/>
    <w:rsid w:val="70E45079"/>
    <w:rsid w:val="71573EB4"/>
    <w:rsid w:val="71A03182"/>
    <w:rsid w:val="72195AAF"/>
    <w:rsid w:val="73760486"/>
    <w:rsid w:val="77815E7A"/>
    <w:rsid w:val="781E0077"/>
    <w:rsid w:val="7922219C"/>
    <w:rsid w:val="7B2155B6"/>
    <w:rsid w:val="7B8450F8"/>
    <w:rsid w:val="7DD56214"/>
    <w:rsid w:val="7DD616E0"/>
    <w:rsid w:val="7F2661FB"/>
    <w:rsid w:val="7FDD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9</TotalTime>
  <ScaleCrop>false</ScaleCrop>
  <LinksUpToDate>false</LinksUpToDate>
  <CharactersWithSpaces>101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2021-07-03T10:14:04Z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1B9A4189D2224EF7B342384CE9CA93E5</vt:lpwstr>
  </property>
</Properties>
</file>