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杭州鼎岳空分设备有限公司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0672-2021-EO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2020-N1EMS-1253196</w:t>
            </w:r>
          </w:p>
          <w:p w:rsidR="009F508A">
            <w:pPr>
              <w:snapToGrid w:val="0"/>
              <w:spacing w:line="320" w:lineRule="exact"/>
              <w:ind w:left="1309"/>
              <w:rPr>
                <w:sz w:val="22"/>
                <w:szCs w:val="22"/>
                <w:highlight w:val="yellow"/>
              </w:rPr>
            </w:pPr>
            <w:r>
              <w:rPr>
                <w:sz w:val="22"/>
                <w:szCs w:val="22"/>
                <w:highlight w:val="yellow"/>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曹晏琼</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ISC-JSZJ-340</w:t>
            </w:r>
          </w:p>
          <w:p w:rsidR="009F508A">
            <w:pPr>
              <w:snapToGrid w:val="0"/>
              <w:spacing w:line="320" w:lineRule="exact"/>
              <w:ind w:left="1309"/>
              <w:rPr>
                <w:sz w:val="22"/>
                <w:szCs w:val="22"/>
                <w:highlight w:val="yellow"/>
              </w:rPr>
            </w:pPr>
            <w:r>
              <w:rPr>
                <w:sz w:val="22"/>
                <w:szCs w:val="22"/>
                <w:highlight w:val="yellow"/>
              </w:rPr>
              <w:t>ISC-JSZJ-340</w:t>
            </w:r>
          </w:p>
          <w:p w:rsidR="009F508A">
            <w:pPr>
              <w:snapToGrid w:val="0"/>
              <w:spacing w:line="320" w:lineRule="exact"/>
              <w:ind w:left="1309"/>
              <w:rPr>
                <w:sz w:val="22"/>
                <w:szCs w:val="22"/>
                <w:highlight w:val="yellow"/>
              </w:rPr>
            </w:pPr>
            <w:r>
              <w:rPr>
                <w:sz w:val="22"/>
                <w:szCs w:val="22"/>
                <w:highlight w:val="yellow"/>
              </w:rPr>
              <w:t>浙江远大空分设备有限公司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