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重庆昌辉塑料有限公司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24.01.02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  <w:bookmarkStart w:id="4" w:name="审核范围"/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再生塑料颗粒的加工</w:t>
            </w:r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再生塑料颗粒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生产流程图：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原材料（废旧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聚丙烯</w:t>
            </w:r>
            <w:r>
              <w:rPr>
                <w:rFonts w:hint="eastAsia"/>
                <w:sz w:val="21"/>
                <w:szCs w:val="21"/>
                <w:highlight w:val="none"/>
              </w:rPr>
              <w:t>）—分选—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搅拌</w:t>
            </w:r>
            <w:r>
              <w:rPr>
                <w:rFonts w:hint="eastAsia"/>
                <w:sz w:val="21"/>
                <w:szCs w:val="21"/>
                <w:highlight w:val="none"/>
              </w:rPr>
              <w:t>—熔融挤塑—切粒—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打包</w:t>
            </w:r>
            <w:r>
              <w:rPr>
                <w:rFonts w:hint="eastAsia"/>
                <w:sz w:val="21"/>
                <w:szCs w:val="21"/>
                <w:highlight w:val="none"/>
              </w:rPr>
              <w:t>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入库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关键/确认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</w:rPr>
              <w:t>熔融挤塑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，也是特殊过程。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生产过程质量风险：塑料熔融温度、时间控制不当造成产品质量不达标。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质量风险控制措施：按作业指导书作业，加强员工培训，设备定期维护保养等。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中华人民共和国合同法、中华人民共和国劳动法、中华人民共和国安全消防法、中华人民共和国产品质量法; GB/T 24149.2-2017塑料 汽车用聚丙烯（PP）专用料 第2部分：仪表板；GB/T 24149.3-2017塑料 汽车用聚丙烯（PP）专用料 第3部分：门内板；GB/T 35265-2017聚丙烯（PP）塑料回收料的表征特性及检测方法以及客户合同要求。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主要质量要求：颜色、熔融温度、塑料性能。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114935</wp:posOffset>
            </wp:positionV>
            <wp:extent cx="619760" cy="387985"/>
            <wp:effectExtent l="0" t="0" r="2540" b="4445"/>
            <wp:wrapNone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131445</wp:posOffset>
            </wp:positionV>
            <wp:extent cx="619760" cy="387985"/>
            <wp:effectExtent l="0" t="0" r="2540" b="4445"/>
            <wp:wrapNone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D76FB"/>
    <w:rsid w:val="2EA70A2F"/>
    <w:rsid w:val="76DF1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2021-07-15T07:23:14Z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1B0AF6DA1083455B84C233C014B780B9</vt:lpwstr>
  </property>
</Properties>
</file>