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广安渝强塑业有限责任公司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广安渝强塑业有限责任公司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四川省广安市前锋区广前大道33号2幢、3幢、5幢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638019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四川省广安市前锋区广前大道33号2幢、3幢、5幢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638019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吴世界</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13609412293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吴世界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吴世界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吴世界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塑料编织袋生产所涉及场所的相关环境管理活动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生产控制；设备设施管理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供方管理；合同管理；客户管理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技质部</w:t>
            </w:r>
          </w:p>
        </w:tc>
        <w:tc>
          <w:tcPr>
            <w:tcW w:w="6804" w:type="dxa"/>
            <w:vAlign w:val="top"/>
          </w:tcPr>
          <w:p>
            <w:pPr>
              <w:jc w:val="lef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产品检验控制、不合格品控制、纠正和预防措施控制；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1"/>
                <w:szCs w:val="21"/>
              </w:rPr>
            </w:pPr>
            <w:r>
              <w:rPr>
                <w:rFonts w:hint="eastAsia" w:ascii="宋体" w:hAnsi="宋体"/>
                <w:sz w:val="21"/>
                <w:szCs w:val="21"/>
              </w:rPr>
              <w:t>塑料编织袋生产所涉及场所的相关环境管理活动</w:t>
            </w:r>
          </w:p>
        </w:tc>
        <w:tc>
          <w:tcPr>
            <w:tcW w:w="2519" w:type="dxa"/>
          </w:tcPr>
          <w:p>
            <w:pPr>
              <w:rPr>
                <w:b/>
                <w:color w:val="000000" w:themeColor="text1"/>
                <w:sz w:val="21"/>
                <w:szCs w:val="21"/>
              </w:rPr>
            </w:pPr>
          </w:p>
        </w:tc>
        <w:tc>
          <w:tcPr>
            <w:tcW w:w="1843" w:type="dxa"/>
          </w:tcPr>
          <w:p>
            <w:pPr>
              <w:rPr>
                <w:rFonts w:hint="eastAsia" w:ascii="宋体" w:hAnsi="宋体" w:cs="Times New Roman"/>
                <w:sz w:val="21"/>
                <w:szCs w:val="21"/>
              </w:rPr>
            </w:pPr>
          </w:p>
        </w:tc>
        <w:tc>
          <w:tcPr>
            <w:tcW w:w="3543" w:type="dxa"/>
          </w:tcPr>
          <w:p>
            <w:pPr>
              <w:rPr>
                <w:rFonts w:hint="eastAsia" w:ascii="宋体" w:hAnsi="宋体" w:cs="Times New Roman"/>
                <w:sz w:val="21"/>
                <w:szCs w:val="21"/>
                <w:lang w:val="en-US" w:eastAsia="zh-CN"/>
              </w:rPr>
            </w:pPr>
            <w:r>
              <w:rPr>
                <w:rFonts w:hint="eastAsia" w:ascii="宋体" w:hAnsi="宋体" w:cs="Times New Roman"/>
                <w:sz w:val="21"/>
                <w:szCs w:val="21"/>
                <w:lang w:eastAsia="zh-CN"/>
              </w:rPr>
              <w:t>《</w:t>
            </w:r>
            <w:r>
              <w:rPr>
                <w:rFonts w:hint="eastAsia" w:ascii="宋体" w:hAnsi="宋体" w:cs="Times New Roman"/>
                <w:sz w:val="21"/>
                <w:szCs w:val="21"/>
              </w:rPr>
              <w:t>污水综合排放标准</w:t>
            </w:r>
            <w:r>
              <w:rPr>
                <w:rFonts w:hint="eastAsia" w:ascii="宋体" w:hAnsi="宋体" w:cs="Times New Roman"/>
                <w:sz w:val="21"/>
                <w:szCs w:val="21"/>
                <w:lang w:eastAsia="zh-CN"/>
              </w:rPr>
              <w:t>》</w:t>
            </w:r>
            <w:r>
              <w:rPr>
                <w:rFonts w:hint="eastAsia" w:ascii="宋体" w:hAnsi="宋体" w:cs="Times New Roman"/>
                <w:sz w:val="21"/>
                <w:szCs w:val="21"/>
              </w:rPr>
              <w:t>（GB8978-1996）</w:t>
            </w:r>
            <w:r>
              <w:rPr>
                <w:rFonts w:hint="eastAsia" w:ascii="宋体" w:hAnsi="宋体" w:cs="Times New Roman"/>
                <w:sz w:val="21"/>
                <w:szCs w:val="21"/>
                <w:lang w:val="en-US" w:eastAsia="zh-CN"/>
              </w:rPr>
              <w:t>三</w:t>
            </w:r>
            <w:r>
              <w:rPr>
                <w:rFonts w:hint="eastAsia" w:ascii="宋体" w:hAnsi="宋体" w:cs="Times New Roman"/>
                <w:sz w:val="21"/>
                <w:szCs w:val="21"/>
              </w:rPr>
              <w:t>级，</w:t>
            </w:r>
            <w:r>
              <w:rPr>
                <w:rFonts w:hint="eastAsia" w:ascii="宋体" w:hAnsi="宋体" w:cs="Times New Roman"/>
                <w:sz w:val="21"/>
                <w:szCs w:val="21"/>
                <w:lang w:eastAsia="zh-CN"/>
              </w:rPr>
              <w:t>《</w:t>
            </w:r>
            <w:r>
              <w:rPr>
                <w:rFonts w:hint="eastAsia" w:ascii="宋体" w:hAnsi="宋体" w:cs="Times New Roman"/>
                <w:sz w:val="21"/>
                <w:szCs w:val="21"/>
                <w:lang w:val="en-US" w:eastAsia="zh-CN"/>
              </w:rPr>
              <w:t>城镇污水处理厂污染物排放标准（GB18918-2002）</w:t>
            </w:r>
            <w:r>
              <w:rPr>
                <w:rFonts w:hint="eastAsia" w:ascii="宋体" w:hAnsi="宋体" w:cs="Times New Roman"/>
                <w:sz w:val="21"/>
                <w:szCs w:val="21"/>
                <w:lang w:eastAsia="zh-CN"/>
              </w:rPr>
              <w:t>》</w:t>
            </w:r>
            <w:r>
              <w:rPr>
                <w:rFonts w:hint="eastAsia" w:ascii="宋体" w:hAnsi="宋体" w:cs="Times New Roman"/>
                <w:sz w:val="21"/>
                <w:szCs w:val="21"/>
                <w:lang w:val="en-US" w:eastAsia="zh-CN"/>
              </w:rPr>
              <w:t>一级A标、《</w:t>
            </w:r>
            <w:r>
              <w:rPr>
                <w:rFonts w:hint="eastAsia" w:ascii="宋体" w:hAnsi="宋体" w:cs="Times New Roman"/>
                <w:sz w:val="21"/>
                <w:szCs w:val="21"/>
              </w:rPr>
              <w:t>工业企业厂界噪声排放标准</w:t>
            </w:r>
            <w:r>
              <w:rPr>
                <w:rFonts w:hint="eastAsia" w:ascii="宋体" w:hAnsi="宋体" w:cs="Times New Roman"/>
                <w:sz w:val="21"/>
                <w:szCs w:val="21"/>
                <w:lang w:eastAsia="zh-CN"/>
              </w:rPr>
              <w:t>》</w:t>
            </w:r>
            <w:r>
              <w:rPr>
                <w:rFonts w:hint="eastAsia" w:ascii="宋体" w:hAnsi="宋体" w:cs="Times New Roman"/>
                <w:sz w:val="21"/>
                <w:szCs w:val="21"/>
              </w:rPr>
              <w:t>（GB12348-2008）</w:t>
            </w:r>
            <w:r>
              <w:rPr>
                <w:rFonts w:hint="eastAsia" w:ascii="宋体" w:hAnsi="宋体" w:cs="Times New Roman"/>
                <w:sz w:val="21"/>
                <w:szCs w:val="21"/>
                <w:lang w:val="en-US" w:eastAsia="zh-CN"/>
              </w:rPr>
              <w:t>3</w:t>
            </w:r>
            <w:r>
              <w:rPr>
                <w:rFonts w:hint="eastAsia" w:ascii="宋体" w:hAnsi="宋体" w:cs="Times New Roman"/>
                <w:sz w:val="21"/>
                <w:szCs w:val="21"/>
              </w:rPr>
              <w:t>类，</w:t>
            </w:r>
            <w:r>
              <w:rPr>
                <w:rFonts w:hint="eastAsia" w:ascii="宋体" w:hAnsi="宋体" w:cs="Times New Roman"/>
                <w:sz w:val="21"/>
                <w:szCs w:val="21"/>
                <w:lang w:eastAsia="zh-CN"/>
              </w:rPr>
              <w:t>《</w:t>
            </w:r>
            <w:r>
              <w:rPr>
                <w:rFonts w:hint="eastAsia" w:ascii="宋体" w:hAnsi="宋体" w:cs="Times New Roman"/>
                <w:sz w:val="21"/>
                <w:szCs w:val="21"/>
                <w:lang w:val="en-US" w:eastAsia="zh-CN"/>
              </w:rPr>
              <w:t>四川省固定污染源大气挥发性有机物排放标准</w:t>
            </w:r>
            <w:r>
              <w:rPr>
                <w:rFonts w:hint="eastAsia" w:ascii="宋体" w:hAnsi="宋体" w:cs="Times New Roman"/>
                <w:sz w:val="21"/>
                <w:szCs w:val="21"/>
                <w:lang w:eastAsia="zh-CN"/>
              </w:rPr>
              <w:t>》</w:t>
            </w:r>
            <w:r>
              <w:rPr>
                <w:rFonts w:hint="eastAsia" w:ascii="宋体" w:hAnsi="宋体" w:cs="Times New Roman"/>
                <w:sz w:val="21"/>
                <w:szCs w:val="21"/>
                <w:lang w:val="en-US" w:eastAsia="zh-CN"/>
              </w:rPr>
              <w:t>(DB51/2377-2017)</w:t>
            </w:r>
            <w:r>
              <w:rPr>
                <w:rFonts w:hint="eastAsia" w:ascii="宋体" w:hAnsi="宋体" w:cs="Times New Roman"/>
                <w:sz w:val="21"/>
                <w:szCs w:val="21"/>
                <w:lang w:eastAsia="zh-CN"/>
              </w:rPr>
              <w:t>、《</w:t>
            </w:r>
            <w:r>
              <w:rPr>
                <w:rFonts w:hint="eastAsia" w:ascii="宋体" w:hAnsi="宋体" w:cs="Times New Roman"/>
                <w:sz w:val="21"/>
                <w:szCs w:val="21"/>
              </w:rPr>
              <w:t>大气污染物综合排放标准</w:t>
            </w:r>
            <w:r>
              <w:rPr>
                <w:rFonts w:hint="eastAsia" w:ascii="宋体" w:hAnsi="宋体" w:cs="Times New Roman"/>
                <w:sz w:val="21"/>
                <w:szCs w:val="21"/>
                <w:lang w:eastAsia="zh-CN"/>
              </w:rPr>
              <w:t>》</w:t>
            </w:r>
            <w:r>
              <w:rPr>
                <w:rFonts w:hint="eastAsia" w:ascii="宋体" w:hAnsi="宋体" w:cs="Times New Roman"/>
                <w:sz w:val="21"/>
                <w:szCs w:val="21"/>
              </w:rPr>
              <w:t>（GB16297-1996）</w:t>
            </w:r>
            <w:r>
              <w:rPr>
                <w:rFonts w:hint="eastAsia" w:ascii="宋体" w:hAnsi="宋体"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sz w:val="21"/>
                <w:szCs w:val="21"/>
              </w:rPr>
            </w:pPr>
            <w:r>
              <w:rPr>
                <w:sz w:val="21"/>
                <w:szCs w:val="21"/>
              </w:rPr>
              <w:t>1、</w:t>
            </w:r>
            <w:r>
              <w:rPr>
                <w:rFonts w:hint="eastAsia"/>
                <w:sz w:val="21"/>
                <w:szCs w:val="21"/>
              </w:rPr>
              <w:t>组织及其环境的识别情况</w:t>
            </w:r>
          </w:p>
          <w:p>
            <w:pPr>
              <w:pStyle w:val="3"/>
              <w:rPr>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2"/>
              </w:numPr>
              <w:spacing w:line="240" w:lineRule="exact"/>
              <w:rPr>
                <w:sz w:val="21"/>
                <w:szCs w:val="21"/>
              </w:rPr>
            </w:pPr>
            <w:r>
              <w:rPr>
                <w:rFonts w:hint="eastAsia"/>
                <w:sz w:val="21"/>
                <w:szCs w:val="21"/>
              </w:rPr>
              <w:t>相关方需求和期望识别情况</w:t>
            </w:r>
          </w:p>
          <w:p>
            <w:pPr>
              <w:pStyle w:val="3"/>
              <w:rPr>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3"/>
              </w:numPr>
              <w:spacing w:line="280" w:lineRule="exact"/>
              <w:rPr>
                <w:rFonts w:ascii="宋体" w:hAnsi="宋体"/>
                <w:b/>
                <w:color w:val="000000" w:themeColor="text1"/>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质量/■环境/</w:t>
            </w:r>
            <w:r>
              <w:rPr>
                <w:rFonts w:hint="eastAsia"/>
                <w:b/>
                <w:color w:val="000000" w:themeColor="text1"/>
                <w:spacing w:val="-10"/>
                <w:sz w:val="21"/>
                <w:szCs w:val="21"/>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numPr>
                <w:ilvl w:val="0"/>
                <w:numId w:val="0"/>
              </w:numPr>
              <w:spacing w:line="280" w:lineRule="exact"/>
              <w:rPr>
                <w:rFonts w:ascii="宋体" w:hAnsi="宋体" w:cs="Times New Roman"/>
                <w:b w:val="0"/>
                <w:bCs/>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w:t>
            </w:r>
            <w:r>
              <w:rPr>
                <w:rFonts w:hint="eastAsia" w:ascii="宋体" w:hAnsi="宋体" w:cs="Times New Roman"/>
                <w:b w:val="0"/>
                <w:bCs/>
                <w:color w:val="000000" w:themeColor="text1"/>
                <w:sz w:val="21"/>
                <w:szCs w:val="21"/>
              </w:rPr>
              <w:t>未发生变更。</w:t>
            </w:r>
          </w:p>
          <w:p>
            <w:pPr>
              <w:numPr>
                <w:ilvl w:val="0"/>
                <w:numId w:val="0"/>
              </w:numPr>
              <w:spacing w:line="280" w:lineRule="exact"/>
              <w:rPr>
                <w:rFonts w:ascii="宋体" w:hAnsi="宋体" w:cs="Times New Roman"/>
                <w:b w:val="0"/>
                <w:bCs/>
                <w:color w:val="000000" w:themeColor="text1"/>
                <w:sz w:val="21"/>
                <w:szCs w:val="21"/>
              </w:rPr>
            </w:pPr>
            <w:r>
              <w:rPr>
                <w:rFonts w:hint="eastAsia" w:ascii="宋体" w:hAnsi="宋体" w:cs="Times New Roman"/>
                <w:b w:val="0"/>
                <w:bCs/>
                <w:color w:val="000000" w:themeColor="text1"/>
                <w:sz w:val="21"/>
                <w:szCs w:val="21"/>
              </w:rPr>
              <w:t>环境方针： </w:t>
            </w:r>
          </w:p>
          <w:p>
            <w:pPr>
              <w:numPr>
                <w:ilvl w:val="0"/>
                <w:numId w:val="0"/>
              </w:numPr>
              <w:spacing w:line="280" w:lineRule="exact"/>
              <w:rPr>
                <w:rFonts w:hint="eastAsia" w:ascii="宋体" w:hAnsi="宋体" w:cs="Times New Roman"/>
                <w:b w:val="0"/>
                <w:bCs/>
                <w:color w:val="000000" w:themeColor="text1"/>
                <w:sz w:val="21"/>
                <w:szCs w:val="21"/>
              </w:rPr>
            </w:pPr>
            <w:r>
              <w:rPr>
                <w:rFonts w:hint="eastAsia" w:ascii="宋体" w:hAnsi="宋体" w:cs="Times New Roman"/>
                <w:b w:val="0"/>
                <w:bCs/>
                <w:color w:val="000000" w:themeColor="text1"/>
                <w:sz w:val="21"/>
                <w:szCs w:val="21"/>
              </w:rPr>
              <w:t>遵守法律法规制造绿色产品</w:t>
            </w:r>
          </w:p>
          <w:p>
            <w:pPr>
              <w:numPr>
                <w:ilvl w:val="0"/>
                <w:numId w:val="0"/>
              </w:numPr>
              <w:spacing w:line="280" w:lineRule="exact"/>
              <w:rPr>
                <w:rFonts w:hint="eastAsia" w:ascii="宋体" w:hAnsi="宋体" w:cs="Times New Roman"/>
                <w:b w:val="0"/>
                <w:bCs/>
                <w:color w:val="000000" w:themeColor="text1"/>
                <w:sz w:val="21"/>
                <w:szCs w:val="21"/>
              </w:rPr>
            </w:pPr>
            <w:r>
              <w:rPr>
                <w:rFonts w:hint="eastAsia" w:ascii="宋体" w:hAnsi="宋体" w:cs="Times New Roman"/>
                <w:b w:val="0"/>
                <w:bCs/>
                <w:color w:val="000000" w:themeColor="text1"/>
                <w:sz w:val="21"/>
                <w:szCs w:val="21"/>
              </w:rPr>
              <w:t>节能降耗降废清洁安全生产</w:t>
            </w:r>
          </w:p>
          <w:p>
            <w:pPr>
              <w:numPr>
                <w:ilvl w:val="0"/>
                <w:numId w:val="0"/>
              </w:numPr>
              <w:spacing w:line="280" w:lineRule="exact"/>
              <w:rPr>
                <w:b/>
                <w:color w:val="000000" w:themeColor="text1"/>
                <w:sz w:val="21"/>
                <w:szCs w:val="21"/>
              </w:rPr>
            </w:pPr>
            <w:r>
              <w:rPr>
                <w:rFonts w:hint="eastAsia" w:ascii="宋体" w:hAnsi="宋体" w:cs="Times New Roman"/>
                <w:b w:val="0"/>
                <w:bCs/>
                <w:color w:val="000000" w:themeColor="text1"/>
                <w:sz w:val="21"/>
                <w:szCs w:val="21"/>
              </w:rPr>
              <w:t>管理持续改进建设美好家园。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pStyle w:val="3"/>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p>
          <w:p>
            <w:pPr>
              <w:tabs>
                <w:tab w:val="left" w:pos="540"/>
              </w:tabs>
              <w:spacing w:line="300" w:lineRule="exact"/>
              <w:ind w:left="201" w:hanging="211" w:hangingChars="100"/>
              <w:rPr>
                <w:rFonts w:ascii="宋体" w:hAnsi="宋体"/>
                <w:b/>
                <w:color w:val="000000" w:themeColor="text1"/>
                <w:sz w:val="21"/>
                <w:szCs w:val="21"/>
              </w:rPr>
            </w:pPr>
            <w:r>
              <w:rPr>
                <w:b/>
                <w:color w:val="000000" w:themeColor="text1"/>
                <w:sz w:val="21"/>
                <w:szCs w:val="21"/>
              </w:rPr>
              <w:pict>
                <v:shape id="_x0000_s2050" o:spid="_x0000_s2050" o:spt="32" type="#_x0000_t32" style="position:absolute;left:0pt;margin-left:157.9pt;margin-top:12.75pt;height:0pt;width:261.75pt;z-index:251719680;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1" o:spid="_x0000_s2051" o:spt="32" type="#_x0000_t32" style="position:absolute;left:0pt;margin-left:55.15pt;margin-top:12.75pt;height:0pt;width:42pt;z-index:25171865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，不适用理由：                                                    </w:t>
            </w:r>
          </w:p>
          <w:p>
            <w:pPr>
              <w:tabs>
                <w:tab w:val="left" w:pos="540"/>
              </w:tabs>
              <w:spacing w:line="300" w:lineRule="exact"/>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rPr>
                <w:b/>
                <w:color w:val="000000" w:themeColor="text1"/>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cs="Times New Roman"/>
                <w:szCs w:val="21"/>
                <w:lang w:val="en-US" w:eastAsia="zh-CN"/>
              </w:rPr>
              <w:t>固体废弃物排放、火灾、</w:t>
            </w:r>
            <w:r>
              <w:rPr>
                <w:rFonts w:hint="eastAsia" w:ascii="宋体" w:hAnsi="宋体"/>
                <w:szCs w:val="21"/>
              </w:rPr>
              <w:t>噪声排放、废</w:t>
            </w:r>
            <w:r>
              <w:rPr>
                <w:rFonts w:hint="eastAsia" w:ascii="宋体" w:hAnsi="宋体"/>
                <w:szCs w:val="21"/>
                <w:lang w:val="en-US" w:eastAsia="zh-CN"/>
              </w:rPr>
              <w:t>气</w:t>
            </w:r>
            <w:r>
              <w:rPr>
                <w:rFonts w:hint="eastAsia" w:ascii="宋体" w:hAnsi="宋体"/>
                <w:szCs w:val="21"/>
              </w:rPr>
              <w:t>排放</w:t>
            </w:r>
            <w:r>
              <w:rPr>
                <w:rFonts w:hint="eastAsia" w:asciiTheme="minorEastAsia" w:hAnsiTheme="minorEastAsia" w:eastAsiaTheme="minorEastAsia"/>
                <w:bCs/>
                <w:iCs/>
                <w:sz w:val="21"/>
                <w:szCs w:val="21"/>
              </w:rPr>
              <w:t>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pStyle w:val="3"/>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pacing w:val="-4"/>
                <w:sz w:val="21"/>
                <w:szCs w:val="21"/>
              </w:rPr>
            </w:pPr>
            <w:r>
              <w:rPr>
                <w:rFonts w:hint="eastAsia"/>
                <w:b/>
                <w:color w:val="000000" w:themeColor="text1"/>
                <w:sz w:val="21"/>
                <w:szCs w:val="21"/>
              </w:rPr>
              <w:t xml:space="preserve">4.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3"/>
              <w:numPr>
                <w:ilvl w:val="0"/>
                <w:numId w:val="4"/>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 w:val="21"/>
                <w:szCs w:val="21"/>
                <w:u w:val="single"/>
              </w:rPr>
            </w:pPr>
          </w:p>
          <w:p>
            <w:pPr>
              <w:pStyle w:val="13"/>
              <w:numPr>
                <w:ilvl w:val="0"/>
                <w:numId w:val="4"/>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rPr>
              <w:sym w:font="Wingdings 2" w:char="00A3"/>
            </w:r>
            <w:r>
              <w:rPr>
                <w:rFonts w:hint="eastAsia" w:ascii="宋体" w:hAnsi="宋体"/>
                <w:b/>
                <w:color w:val="000000" w:themeColor="text1"/>
                <w:sz w:val="21"/>
                <w:szCs w:val="21"/>
              </w:rPr>
              <w:t>产品/服务■环境因素■危险源，■确定 □未确定法律法规要求的具体条款，</w:t>
            </w:r>
          </w:p>
          <w:p>
            <w:pPr>
              <w:pStyle w:val="13"/>
              <w:numPr>
                <w:ilvl w:val="0"/>
                <w:numId w:val="4"/>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3"/>
              <w:numPr>
                <w:ilvl w:val="0"/>
                <w:numId w:val="4"/>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5.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管理目标、指标的实现情况：</w:t>
            </w:r>
          </w:p>
          <w:p>
            <w:pPr>
              <w:tabs>
                <w:tab w:val="left" w:pos="5025"/>
              </w:tabs>
              <w:adjustRightInd w:val="0"/>
              <w:snapToGrid w:val="0"/>
              <w:spacing w:line="312" w:lineRule="auto"/>
              <w:rPr>
                <w:rFonts w:hint="default" w:ascii="宋体" w:hAnsi="宋体" w:cs="Times New Roman"/>
                <w:color w:val="000000"/>
                <w:szCs w:val="21"/>
                <w:lang w:val="en-US" w:eastAsia="zh-CN"/>
              </w:rPr>
            </w:pPr>
            <w:r>
              <w:rPr>
                <w:rFonts w:hint="eastAsia" w:ascii="宋体" w:hAnsi="宋体" w:cs="Times New Roman"/>
                <w:color w:val="000000"/>
                <w:szCs w:val="21"/>
              </w:rPr>
              <w:t>1）危险废弃物合法处理率；</w:t>
            </w:r>
            <w:r>
              <w:rPr>
                <w:rFonts w:hint="eastAsia" w:ascii="宋体" w:hAnsi="宋体" w:cs="Times New Roman"/>
                <w:color w:val="000000"/>
                <w:szCs w:val="21"/>
                <w:lang w:eastAsia="zh-CN"/>
              </w:rPr>
              <w:tab/>
            </w:r>
            <w:r>
              <w:rPr>
                <w:rFonts w:hint="eastAsia" w:ascii="宋体" w:hAnsi="宋体" w:cs="Times New Roman"/>
                <w:color w:val="000000"/>
                <w:szCs w:val="21"/>
                <w:lang w:val="en-US" w:eastAsia="zh-CN"/>
              </w:rPr>
              <w:t xml:space="preserve">   实测：处置率100%</w:t>
            </w:r>
          </w:p>
          <w:p>
            <w:pPr>
              <w:tabs>
                <w:tab w:val="left" w:pos="3731"/>
                <w:tab w:val="left" w:pos="5192"/>
              </w:tabs>
              <w:adjustRightInd w:val="0"/>
              <w:snapToGrid w:val="0"/>
              <w:spacing w:line="312" w:lineRule="auto"/>
              <w:rPr>
                <w:rFonts w:hint="default" w:ascii="宋体" w:hAnsi="宋体" w:eastAsia="宋体" w:cs="Times New Roman"/>
                <w:color w:val="000000"/>
                <w:szCs w:val="21"/>
                <w:lang w:val="en-US" w:eastAsia="zh-CN"/>
              </w:rPr>
            </w:pPr>
            <w:r>
              <w:rPr>
                <w:rFonts w:hint="eastAsia" w:ascii="宋体" w:hAnsi="宋体" w:cs="Times New Roman"/>
                <w:color w:val="000000"/>
                <w:szCs w:val="21"/>
              </w:rPr>
              <w:t>2）废气</w:t>
            </w:r>
            <w:r>
              <w:rPr>
                <w:rFonts w:hint="eastAsia" w:ascii="宋体" w:hAnsi="宋体" w:cs="Times New Roman"/>
                <w:color w:val="000000"/>
                <w:szCs w:val="21"/>
                <w:lang w:eastAsia="zh-CN"/>
              </w:rPr>
              <w:t>、</w:t>
            </w:r>
            <w:r>
              <w:rPr>
                <w:rFonts w:hint="eastAsia" w:ascii="宋体" w:hAnsi="宋体" w:cs="Times New Roman"/>
                <w:color w:val="000000"/>
                <w:szCs w:val="21"/>
              </w:rPr>
              <w:t>废水</w:t>
            </w:r>
            <w:r>
              <w:rPr>
                <w:rFonts w:hint="eastAsia" w:ascii="宋体" w:hAnsi="宋体" w:cs="Times New Roman"/>
                <w:color w:val="000000"/>
                <w:szCs w:val="21"/>
                <w:lang w:eastAsia="zh-CN"/>
              </w:rPr>
              <w:t>、</w:t>
            </w:r>
            <w:r>
              <w:rPr>
                <w:rFonts w:hint="eastAsia" w:ascii="宋体" w:hAnsi="宋体" w:cs="Times New Roman"/>
                <w:color w:val="000000"/>
                <w:szCs w:val="21"/>
              </w:rPr>
              <w:t>噪声排放符合相关法规要求；</w:t>
            </w:r>
            <w:r>
              <w:rPr>
                <w:rFonts w:hint="eastAsia" w:ascii="宋体" w:hAnsi="宋体" w:cs="Times New Roman"/>
                <w:color w:val="000000"/>
                <w:szCs w:val="21"/>
                <w:lang w:eastAsia="zh-CN"/>
              </w:rPr>
              <w:tab/>
            </w:r>
            <w:r>
              <w:rPr>
                <w:rFonts w:hint="eastAsia" w:ascii="宋体" w:hAnsi="宋体" w:cs="Times New Roman"/>
                <w:color w:val="000000"/>
                <w:szCs w:val="21"/>
                <w:lang w:val="en-US" w:eastAsia="zh-CN"/>
              </w:rPr>
              <w:t xml:space="preserve"> 实测：达标</w:t>
            </w:r>
          </w:p>
          <w:p>
            <w:pPr>
              <w:tabs>
                <w:tab w:val="left" w:pos="5281"/>
              </w:tabs>
              <w:adjustRightInd w:val="0"/>
              <w:snapToGrid w:val="0"/>
              <w:spacing w:line="312" w:lineRule="auto"/>
              <w:rPr>
                <w:rFonts w:hint="default" w:ascii="宋体" w:hAnsi="宋体" w:eastAsia="宋体" w:cs="Times New Roman"/>
                <w:color w:val="000000"/>
                <w:szCs w:val="21"/>
                <w:lang w:val="en-US" w:eastAsia="zh-CN"/>
              </w:rPr>
            </w:pPr>
            <w:r>
              <w:rPr>
                <w:rFonts w:hint="eastAsia" w:ascii="宋体" w:hAnsi="宋体" w:cs="Times New Roman"/>
                <w:color w:val="000000"/>
                <w:szCs w:val="21"/>
              </w:rPr>
              <w:t>3）火灾爆炸事故发生次数</w:t>
            </w:r>
            <w:r>
              <w:rPr>
                <w:rFonts w:hint="eastAsia" w:ascii="宋体" w:hAnsi="宋体" w:cs="Times New Roman"/>
                <w:color w:val="000000"/>
                <w:szCs w:val="21"/>
                <w:lang w:eastAsia="zh-CN"/>
              </w:rPr>
              <w:tab/>
            </w:r>
            <w:r>
              <w:rPr>
                <w:rFonts w:hint="eastAsia" w:ascii="宋体" w:hAnsi="宋体" w:cs="Times New Roman"/>
                <w:color w:val="000000"/>
                <w:szCs w:val="21"/>
                <w:lang w:val="en-US" w:eastAsia="zh-CN"/>
              </w:rPr>
              <w:t>实测：未发生</w:t>
            </w:r>
          </w:p>
          <w:p>
            <w:pPr>
              <w:tabs>
                <w:tab w:val="left" w:pos="5292"/>
              </w:tabs>
              <w:adjustRightInd w:val="0"/>
              <w:snapToGrid w:val="0"/>
              <w:spacing w:line="312" w:lineRule="auto"/>
              <w:rPr>
                <w:rFonts w:hint="default" w:ascii="宋体" w:hAnsi="宋体" w:eastAsia="宋体"/>
                <w:b/>
                <w:color w:val="000000" w:themeColor="text1"/>
                <w:sz w:val="21"/>
                <w:szCs w:val="21"/>
                <w:lang w:val="en-US" w:eastAsia="zh-CN"/>
              </w:rPr>
            </w:pPr>
            <w:r>
              <w:rPr>
                <w:rFonts w:hint="eastAsia" w:ascii="宋体" w:hAnsi="宋体" w:cs="Times New Roman"/>
                <w:color w:val="000000"/>
                <w:szCs w:val="21"/>
              </w:rPr>
              <w:t>4）环境污染事件次数</w:t>
            </w:r>
            <w:r>
              <w:rPr>
                <w:rFonts w:hint="eastAsia" w:ascii="宋体" w:hAnsi="宋体" w:cs="Times New Roman"/>
                <w:color w:val="000000"/>
                <w:szCs w:val="21"/>
                <w:lang w:eastAsia="zh-CN"/>
              </w:rPr>
              <w:tab/>
            </w:r>
            <w:r>
              <w:rPr>
                <w:rFonts w:hint="eastAsia" w:ascii="宋体" w:hAnsi="宋体" w:cs="Times New Roman"/>
                <w:color w:val="000000"/>
                <w:szCs w:val="21"/>
                <w:lang w:val="en-US" w:eastAsia="zh-CN"/>
              </w:rPr>
              <w:t>实测：未发生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6.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公司按照申请认证的标准要求，建立并形成了文件化的质量、</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w:t>
            </w:r>
            <w:r>
              <w:rPr>
                <w:rFonts w:hint="eastAsia" w:ascii="宋体" w:hAnsi="宋体" w:cs="Arial"/>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月1</w:t>
            </w:r>
            <w:r>
              <w:rPr>
                <w:rFonts w:hint="eastAsia" w:ascii="宋体" w:hAnsi="宋体" w:cs="宋体"/>
                <w:color w:val="000000" w:themeColor="text1"/>
                <w:sz w:val="21"/>
                <w:szCs w:val="21"/>
                <w:lang w:val="en-US" w:eastAsia="zh-CN"/>
              </w:rPr>
              <w:t>0</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rPr>
                <w:rFonts w:ascii="宋体" w:hAnsi="宋体"/>
                <w:b/>
                <w:color w:val="000000" w:themeColor="text1"/>
                <w:sz w:val="21"/>
                <w:szCs w:val="21"/>
              </w:rPr>
            </w:pPr>
            <w:r>
              <w:rPr>
                <w:rFonts w:hint="eastAsia" w:ascii="宋体" w:hAnsi="宋体"/>
                <w:sz w:val="21"/>
                <w:szCs w:val="21"/>
                <w:highlight w:val="none"/>
              </w:rPr>
              <w:t>办公面积200平方左右，有库房1个，车间一个，</w:t>
            </w:r>
            <w:r>
              <w:rPr>
                <w:rFonts w:hint="eastAsia" w:ascii="宋体" w:hAnsi="宋体" w:cs="宋体"/>
                <w:sz w:val="21"/>
                <w:szCs w:val="21"/>
                <w:highlight w:val="none"/>
              </w:rPr>
              <w:t>主</w:t>
            </w:r>
            <w:r>
              <w:rPr>
                <w:rFonts w:hint="eastAsia" w:ascii="宋体" w:hAnsi="宋体" w:cs="宋体"/>
                <w:sz w:val="21"/>
                <w:szCs w:val="21"/>
              </w:rPr>
              <w:t>要设备包括</w:t>
            </w:r>
            <w:r>
              <w:rPr>
                <w:rFonts w:hint="eastAsia"/>
                <w:color w:val="auto"/>
                <w:highlight w:val="none"/>
              </w:rPr>
              <w:t>电脑、办公设备、</w:t>
            </w:r>
            <w:r>
              <w:rPr>
                <w:rFonts w:hint="eastAsia"/>
                <w:color w:val="auto"/>
                <w:highlight w:val="none"/>
                <w:lang w:val="en-US" w:eastAsia="zh-CN"/>
              </w:rPr>
              <w:t>拉丝机、圆织机、打边机、覆膜机、印字机</w:t>
            </w:r>
            <w:r>
              <w:rPr>
                <w:rFonts w:hint="eastAsia"/>
                <w:color w:val="auto"/>
                <w:highlight w:val="none"/>
              </w:rPr>
              <w:t>等</w:t>
            </w:r>
            <w:r>
              <w:rPr>
                <w:rFonts w:hint="eastAsia" w:ascii="宋体" w:hAnsi="宋体" w:cs="宋体"/>
                <w:sz w:val="21"/>
                <w:szCs w:val="21"/>
              </w:rPr>
              <w:t>，可以满足</w:t>
            </w:r>
            <w:r>
              <w:rPr>
                <w:rFonts w:hint="eastAsia"/>
                <w:sz w:val="21"/>
                <w:szCs w:val="21"/>
                <w:lang w:eastAsia="zh-CN"/>
              </w:rPr>
              <w:t>塑料编织袋生产</w:t>
            </w:r>
            <w:r>
              <w:rPr>
                <w:rFonts w:hint="eastAsia" w:ascii="宋体" w:hAnsi="宋体"/>
                <w:sz w:val="21"/>
                <w:szCs w:val="21"/>
              </w:rPr>
              <w:t>的需要</w:t>
            </w:r>
            <w:r>
              <w:rPr>
                <w:rFonts w:hint="eastAsia" w:ascii="宋体" w:hAnsi="宋体" w:cs="宋体"/>
                <w:sz w:val="21"/>
                <w:szCs w:val="21"/>
                <w:highlight w:val="none"/>
              </w:rPr>
              <w:t>。特种设备：</w:t>
            </w:r>
            <w:r>
              <w:rPr>
                <w:rFonts w:hint="eastAsia" w:ascii="宋体" w:hAnsi="宋体" w:cs="宋体"/>
                <w:sz w:val="21"/>
                <w:szCs w:val="21"/>
                <w:highlight w:val="none"/>
                <w:lang w:val="en-US" w:eastAsia="zh-CN"/>
              </w:rPr>
              <w:t>无</w:t>
            </w:r>
            <w:r>
              <w:rPr>
                <w:rFonts w:hint="eastAsia" w:ascii="宋体" w:hAnsi="宋体"/>
                <w:sz w:val="21"/>
                <w:szCs w:val="21"/>
                <w:highlight w:val="none"/>
              </w:rPr>
              <w:t>。</w:t>
            </w:r>
            <w:r>
              <w:rPr>
                <w:rFonts w:hint="eastAsia" w:ascii="宋体" w:hAnsi="宋体" w:cs="宋体"/>
                <w:sz w:val="21"/>
                <w:szCs w:val="21"/>
                <w:highlight w:val="none"/>
              </w:rPr>
              <w:t>公</w:t>
            </w:r>
            <w:r>
              <w:rPr>
                <w:rFonts w:hint="eastAsia" w:ascii="宋体" w:hAnsi="宋体" w:cs="宋体"/>
                <w:sz w:val="21"/>
                <w:szCs w:val="21"/>
              </w:rPr>
              <w:t>司未建立信息管理系统用于生产和服务。</w:t>
            </w:r>
          </w:p>
          <w:p>
            <w:pPr>
              <w:spacing w:line="240" w:lineRule="exact"/>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b/>
                <w:color w:val="000000" w:themeColor="text1"/>
                <w:sz w:val="21"/>
                <w:szCs w:val="21"/>
              </w:rPr>
            </w:pPr>
            <w:r>
              <w:rPr>
                <w:rFonts w:hint="eastAsia" w:ascii="宋体" w:hAnsi="宋体"/>
                <w:sz w:val="21"/>
                <w:szCs w:val="21"/>
              </w:rPr>
              <w:t>区域内设备布置合理，照明设施齐全，均配备了灭火器、消防栓等设施。目前公司从事</w:t>
            </w:r>
            <w:r>
              <w:rPr>
                <w:rFonts w:hint="eastAsia" w:ascii="宋体" w:hAnsi="宋体"/>
                <w:sz w:val="21"/>
                <w:szCs w:val="21"/>
                <w:lang w:val="en-US" w:eastAsia="zh-CN"/>
              </w:rPr>
              <w:t>生产</w:t>
            </w:r>
            <w:r>
              <w:rPr>
                <w:rFonts w:hint="eastAsia" w:ascii="宋体" w:hAnsi="宋体"/>
                <w:sz w:val="21"/>
                <w:szCs w:val="21"/>
              </w:rPr>
              <w:t>的工作性质</w:t>
            </w:r>
            <w:r>
              <w:rPr>
                <w:rFonts w:hint="eastAsia" w:ascii="宋体" w:hAnsi="宋体"/>
                <w:sz w:val="21"/>
                <w:szCs w:val="21"/>
                <w:lang w:val="de-DE"/>
              </w:rPr>
              <w:t>对</w:t>
            </w:r>
            <w:r>
              <w:rPr>
                <w:rFonts w:hint="eastAsia" w:ascii="宋体" w:hAnsi="宋体"/>
                <w:sz w:val="21"/>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sz w:val="21"/>
                <w:szCs w:val="21"/>
                <w:highlight w:val="none"/>
              </w:rPr>
            </w:pPr>
            <w:r>
              <w:rPr>
                <w:rFonts w:hint="eastAsia"/>
                <w:sz w:val="21"/>
                <w:szCs w:val="21"/>
                <w:highlight w:val="none"/>
              </w:rPr>
              <w:t>监视和测量资源</w:t>
            </w:r>
          </w:p>
          <w:p>
            <w:pPr>
              <w:pStyle w:val="3"/>
              <w:rPr>
                <w:sz w:val="21"/>
                <w:szCs w:val="21"/>
                <w:highlight w:val="none"/>
              </w:rPr>
            </w:pPr>
            <w:r>
              <w:rPr>
                <w:rFonts w:hint="eastAsia" w:ascii="宋体" w:hAnsi="宋体"/>
                <w:bCs/>
                <w:color w:val="000000" w:themeColor="text1"/>
                <w:sz w:val="21"/>
                <w:szCs w:val="21"/>
                <w:highlight w:val="none"/>
              </w:rPr>
              <w:t>公司</w:t>
            </w:r>
            <w:r>
              <w:rPr>
                <w:rFonts w:hint="eastAsia"/>
                <w:sz w:val="21"/>
                <w:szCs w:val="21"/>
                <w:highlight w:val="none"/>
              </w:rPr>
              <w:t>监视和测量设施配备有前</w:t>
            </w:r>
            <w:r>
              <w:rPr>
                <w:rFonts w:hint="eastAsia" w:ascii="宋体" w:hAnsi="宋体" w:cs="宋体"/>
                <w:szCs w:val="21"/>
                <w:highlight w:val="none"/>
              </w:rPr>
              <w:t>白度仪、电子强度机、电子天平、钢卷尺等</w:t>
            </w:r>
            <w:r>
              <w:rPr>
                <w:rFonts w:hint="eastAsia" w:ascii="宋体" w:hAnsi="宋体" w:cs="宋体"/>
                <w:sz w:val="21"/>
                <w:szCs w:val="21"/>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400" w:lineRule="exact"/>
              <w:rPr>
                <w:rFonts w:ascii="宋体" w:hAnsi="宋体"/>
                <w:b/>
                <w:color w:val="000000" w:themeColor="text1"/>
                <w:sz w:val="21"/>
                <w:szCs w:val="21"/>
              </w:rPr>
            </w:pPr>
            <w:r>
              <w:rPr>
                <w:rFonts w:hint="eastAsia" w:ascii="宋体" w:hAnsi="宋体"/>
                <w:b/>
                <w:color w:val="000000" w:themeColor="text1"/>
                <w:sz w:val="21"/>
                <w:szCs w:val="21"/>
              </w:rPr>
              <w:t>环保设施：</w:t>
            </w:r>
            <w:r>
              <w:rPr>
                <w:rFonts w:hint="eastAsia"/>
                <w:szCs w:val="21"/>
              </w:rPr>
              <w:t>消防栓、灭火器、</w:t>
            </w:r>
            <w:r>
              <w:rPr>
                <w:rFonts w:hint="eastAsia"/>
                <w:szCs w:val="21"/>
                <w:lang w:val="en-US" w:eastAsia="zh-CN"/>
              </w:rPr>
              <w:t>集气罩</w:t>
            </w:r>
            <w:r>
              <w:rPr>
                <w:rFonts w:hint="eastAsia"/>
                <w:szCs w:val="21"/>
              </w:rPr>
              <w:t>、</w:t>
            </w:r>
            <w:r>
              <w:rPr>
                <w:rFonts w:hint="eastAsia"/>
                <w:szCs w:val="21"/>
                <w:lang w:val="en-US" w:eastAsia="zh-CN"/>
              </w:rPr>
              <w:t>布袋除尘器、</w:t>
            </w:r>
            <w:r>
              <w:rPr>
                <w:rFonts w:hint="eastAsia"/>
                <w:szCs w:val="21"/>
              </w:rPr>
              <w:t>活性炭吸附装置</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sz w:val="21"/>
                <w:szCs w:val="21"/>
              </w:rPr>
            </w:pPr>
            <w:r>
              <w:rPr>
                <w:rFonts w:hint="eastAsia"/>
                <w:sz w:val="21"/>
                <w:szCs w:val="21"/>
              </w:rPr>
              <w:t>1. 针对方针的管理职责评审</w:t>
            </w:r>
          </w:p>
          <w:p>
            <w:pPr>
              <w:spacing w:line="300" w:lineRule="exact"/>
              <w:ind w:left="1"/>
              <w:rPr>
                <w:sz w:val="21"/>
                <w:szCs w:val="21"/>
              </w:rPr>
            </w:pPr>
            <w:r>
              <w:rPr>
                <w:rFonts w:hint="eastAsia"/>
                <w:sz w:val="21"/>
                <w:szCs w:val="21"/>
              </w:rPr>
              <w:t>（包括针对组织宗旨，制定相关管理方针政策、确保方针为员工理解并在运营中实施，监视方针的实施并评审方针的适宜性）</w:t>
            </w:r>
          </w:p>
          <w:p>
            <w:pPr>
              <w:pStyle w:val="3"/>
              <w:rPr>
                <w:sz w:val="21"/>
                <w:szCs w:val="21"/>
              </w:rPr>
            </w:pPr>
            <w:r>
              <w:rPr>
                <w:rFonts w:hint="eastAsia" w:ascii="宋体" w:hAnsi="宋体" w:cs="宋体"/>
                <w:color w:val="000000"/>
                <w:sz w:val="21"/>
                <w:szCs w:val="21"/>
              </w:rPr>
              <w:t>最高管理者组织制定了方针：现行的环境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在公司内部主要采用电话、会议、面谈等形式就与服务环境、服务安全有关问题及与环境管理体系有关问题进行沟通，未发生由于沟通不到位而影响工作的情况。</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宋体" w:hAnsi="宋体" w:cs="宋体"/>
                <w:color w:val="000000"/>
                <w:sz w:val="21"/>
                <w:szCs w:val="21"/>
              </w:rPr>
              <w:t>对会议通知和规定等登记处理。</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193"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b/>
                <w:color w:val="000000" w:themeColor="text1"/>
                <w:sz w:val="21"/>
                <w:szCs w:val="21"/>
              </w:rPr>
            </w:pPr>
            <w:r>
              <w:rPr>
                <w:rFonts w:hint="eastAsia"/>
                <w:b/>
                <w:color w:val="000000" w:themeColor="text1"/>
                <w:sz w:val="21"/>
                <w:szCs w:val="21"/>
              </w:rPr>
              <w:t>/</w:t>
            </w:r>
          </w:p>
          <w:p>
            <w:pPr>
              <w:spacing w:line="240" w:lineRule="exact"/>
              <w:rPr>
                <w:b/>
                <w:color w:val="000000" w:themeColor="text1"/>
                <w:sz w:val="21"/>
                <w:szCs w:val="21"/>
              </w:rPr>
            </w:pPr>
          </w:p>
          <w:p>
            <w:pPr>
              <w:spacing w:line="240" w:lineRule="exact"/>
              <w:rPr>
                <w:b/>
                <w:color w:val="000000" w:themeColor="text1"/>
                <w:sz w:val="21"/>
                <w:szCs w:val="21"/>
              </w:rPr>
            </w:pPr>
            <w:r>
              <w:rPr>
                <w:rFonts w:hint="eastAsia"/>
                <w:b/>
                <w:color w:val="000000" w:themeColor="text1"/>
                <w:sz w:val="21"/>
                <w:szCs w:val="21"/>
              </w:rPr>
              <w:t>(应说明相关证据)：</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211" w:firstLineChars="100"/>
              <w:rPr>
                <w:b/>
                <w:color w:val="000000" w:themeColor="text1"/>
                <w:sz w:val="21"/>
                <w:szCs w:val="21"/>
              </w:rPr>
            </w:pPr>
            <w:r>
              <w:rPr>
                <w:b/>
                <w:color w:val="000000" w:themeColor="text1"/>
                <w:sz w:val="21"/>
                <w:szCs w:val="21"/>
              </w:rPr>
              <w:t>/</w:t>
            </w:r>
          </w:p>
          <w:p>
            <w:pPr>
              <w:spacing w:line="300" w:lineRule="exact"/>
              <w:ind w:firstLine="207" w:firstLineChars="98"/>
              <w:rPr>
                <w:b/>
                <w:color w:val="000000" w:themeColor="text1"/>
                <w:sz w:val="21"/>
                <w:szCs w:val="21"/>
              </w:rPr>
            </w:pPr>
            <w:r>
              <w:rPr>
                <w:rFonts w:hint="eastAsia"/>
                <w:b/>
                <w:color w:val="000000" w:themeColor="text1"/>
                <w:sz w:val="21"/>
                <w:szCs w:val="21"/>
              </w:rPr>
              <w:t>（附相关证据）：</w:t>
            </w:r>
          </w:p>
          <w:p>
            <w:pPr>
              <w:spacing w:line="300" w:lineRule="exact"/>
              <w:jc w:val="lef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b/>
                <w:color w:val="000000" w:themeColor="text1"/>
                <w:sz w:val="21"/>
                <w:szCs w:val="21"/>
              </w:rPr>
            </w:pPr>
            <w:r>
              <w:rPr>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cs="Times New Roman"/>
                <w:szCs w:val="21"/>
                <w:lang w:val="en-US" w:eastAsia="zh-CN"/>
              </w:rPr>
              <w:t>固体废弃物排放、火灾、</w:t>
            </w:r>
            <w:r>
              <w:rPr>
                <w:rFonts w:hint="eastAsia" w:ascii="宋体" w:hAnsi="宋体"/>
                <w:szCs w:val="21"/>
              </w:rPr>
              <w:t>噪声排放、废</w:t>
            </w:r>
            <w:r>
              <w:rPr>
                <w:rFonts w:hint="eastAsia" w:ascii="宋体" w:hAnsi="宋体"/>
                <w:szCs w:val="21"/>
                <w:lang w:val="en-US" w:eastAsia="zh-CN"/>
              </w:rPr>
              <w:t>气</w:t>
            </w:r>
            <w:r>
              <w:rPr>
                <w:rFonts w:hint="eastAsia" w:ascii="宋体" w:hAnsi="宋体"/>
                <w:szCs w:val="21"/>
              </w:rPr>
              <w:t>排放</w:t>
            </w:r>
            <w:r>
              <w:rPr>
                <w:rFonts w:hint="eastAsia" w:asciiTheme="minorEastAsia" w:hAnsiTheme="minorEastAsia" w:eastAsiaTheme="minorEastAsia"/>
                <w:bCs/>
                <w:iCs/>
                <w:sz w:val="21"/>
                <w:szCs w:val="21"/>
              </w:rPr>
              <w:t>，需要应对的风险和机遇相关的过程为合同评审，采购，</w:t>
            </w:r>
            <w:r>
              <w:rPr>
                <w:rFonts w:hint="eastAsia" w:asciiTheme="minorEastAsia" w:hAnsiTheme="minorEastAsia" w:eastAsiaTheme="minorEastAsia"/>
                <w:bCs/>
                <w:iCs/>
                <w:sz w:val="21"/>
                <w:szCs w:val="21"/>
                <w:lang w:val="en-US" w:eastAsia="zh-CN"/>
              </w:rPr>
              <w:t>生产过程</w:t>
            </w:r>
            <w:r>
              <w:rPr>
                <w:rFonts w:hint="eastAsia" w:asciiTheme="minorEastAsia" w:hAnsiTheme="minorEastAsia" w:eastAsiaTheme="minorEastAsia"/>
                <w:bCs/>
                <w:iCs/>
                <w:sz w:val="21"/>
                <w:szCs w:val="21"/>
              </w:rPr>
              <w:t>、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OHSMS组织对不可接受风险实施控制的结果</w:t>
            </w:r>
          </w:p>
          <w:p>
            <w:pPr>
              <w:pStyle w:val="3"/>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b/>
                <w:color w:val="000000" w:themeColor="text1"/>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p>
            <w:pPr>
              <w:spacing w:line="240" w:lineRule="exact"/>
              <w:rPr>
                <w:b/>
                <w:color w:val="000000" w:themeColor="text1"/>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10. 对特种设备的维护，检定; </w:t>
            </w:r>
          </w:p>
          <w:p>
            <w:pPr>
              <w:spacing w:line="240" w:lineRule="exact"/>
              <w:rPr>
                <w:b/>
                <w:color w:val="000000" w:themeColor="text1"/>
                <w:sz w:val="21"/>
                <w:szCs w:val="21"/>
              </w:rPr>
            </w:pPr>
            <w:r>
              <w:rPr>
                <w:rFonts w:hint="eastAsia"/>
                <w:b/>
                <w:color w:val="000000" w:themeColor="text1"/>
                <w:sz w:val="21"/>
                <w:szCs w:val="21"/>
              </w:rPr>
              <w:t>叉车，有有效检验证书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11 .对危险化学品销售、使用、储存、运输处置，规定的执行力度(必要时);</w:t>
            </w:r>
          </w:p>
          <w:p>
            <w:pPr>
              <w:pStyle w:val="3"/>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p>
          <w:p>
            <w:pPr>
              <w:spacing w:line="240" w:lineRule="exact"/>
              <w:ind w:firstLine="105" w:firstLineChars="50"/>
              <w:rPr>
                <w:b/>
                <w:color w:val="000000" w:themeColor="text1"/>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w:t>
            </w:r>
            <w:r>
              <w:rPr>
                <w:rFonts w:hint="eastAsia" w:ascii="宋体" w:hAnsi="宋体" w:cs="宋体"/>
                <w:sz w:val="21"/>
                <w:szCs w:val="21"/>
              </w:rPr>
              <w:t>。同时，</w:t>
            </w:r>
            <w:r>
              <w:rPr>
                <w:rFonts w:hint="eastAsia" w:ascii="宋体" w:hAnsi="宋体" w:cs="宋体"/>
                <w:sz w:val="21"/>
                <w:szCs w:val="21"/>
                <w:lang w:val="en-US" w:eastAsia="zh-CN"/>
              </w:rPr>
              <w:t>环境</w:t>
            </w:r>
            <w:r>
              <w:rPr>
                <w:rFonts w:hint="eastAsia" w:ascii="宋体" w:hAnsi="宋体" w:cs="宋体"/>
                <w:sz w:val="21"/>
                <w:szCs w:val="21"/>
              </w:rPr>
              <w:t>目标得到沟通和监视评价，通过数据的汇总统计、描述性统计等方法对目标进行了测量，总体已达到或超过了规定的目标值。通过202</w:t>
            </w:r>
            <w:r>
              <w:rPr>
                <w:rFonts w:hint="eastAsia" w:ascii="宋体" w:hAnsi="宋体" w:cs="宋体"/>
                <w:sz w:val="21"/>
                <w:szCs w:val="21"/>
                <w:lang w:val="en-US" w:eastAsia="zh-CN"/>
              </w:rPr>
              <w:t>1</w:t>
            </w:r>
            <w:r>
              <w:rPr>
                <w:rFonts w:hint="eastAsia" w:ascii="宋体" w:hAnsi="宋体" w:cs="宋体"/>
                <w:sz w:val="21"/>
                <w:szCs w:val="21"/>
              </w:rPr>
              <w:t>年1月-202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numPr>
                <w:ilvl w:val="0"/>
                <w:numId w:val="5"/>
              </w:numPr>
              <w:spacing w:line="240" w:lineRule="exact"/>
              <w:ind w:left="105" w:hanging="105" w:hangingChars="50"/>
              <w:rPr>
                <w:sz w:val="21"/>
                <w:szCs w:val="21"/>
              </w:rPr>
            </w:pPr>
            <w:r>
              <w:rPr>
                <w:rFonts w:hint="eastAsia"/>
                <w:sz w:val="21"/>
                <w:szCs w:val="21"/>
              </w:rPr>
              <w:t>顾客满意</w:t>
            </w:r>
          </w:p>
          <w:p>
            <w:pPr>
              <w:pStyle w:val="3"/>
              <w:rPr>
                <w:sz w:val="21"/>
                <w:szCs w:val="21"/>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b/>
                <w:color w:val="000000" w:themeColor="text1"/>
                <w:spacing w:val="-8"/>
                <w:sz w:val="21"/>
                <w:szCs w:val="21"/>
              </w:rPr>
            </w:pPr>
            <w:r>
              <w:rPr>
                <w:rFonts w:hint="eastAsia" w:ascii="宋体" w:hAnsi="宋体" w:cs="宋体"/>
                <w:sz w:val="21"/>
                <w:szCs w:val="21"/>
              </w:rPr>
              <w:t>建立有《内部审核控制程序》，规定了内审频次一年一次，内审时间：</w:t>
            </w:r>
            <w:r>
              <w:rPr>
                <w:rFonts w:hint="eastAsia" w:ascii="宋体" w:hAnsi="宋体" w:cs="Times New Roman"/>
                <w:szCs w:val="21"/>
              </w:rPr>
              <w:t>2021年4月10日</w:t>
            </w:r>
            <w:r>
              <w:rPr>
                <w:rFonts w:hint="eastAsia" w:ascii="宋体" w:hAnsi="宋体" w:cs="宋体"/>
                <w:sz w:val="21"/>
                <w:szCs w:val="21"/>
              </w:rPr>
              <w:t>，拟定了审核实施表，明确了内审范围，内审人员经培训合格上岗，能力满足要求，未出现审核本部门情况，内审不符合项</w:t>
            </w:r>
            <w:r>
              <w:rPr>
                <w:rFonts w:hint="eastAsia" w:ascii="宋体" w:hAnsi="宋体" w:cs="Times New Roman"/>
                <w:szCs w:val="21"/>
              </w:rPr>
              <w:t>2份，</w:t>
            </w:r>
            <w:r>
              <w:rPr>
                <w:rFonts w:hint="eastAsia" w:ascii="宋体" w:hAnsi="宋体" w:cs="Times New Roman"/>
                <w:szCs w:val="21"/>
                <w:lang w:val="en-US" w:eastAsia="zh-CN"/>
              </w:rPr>
              <w:t>1）</w:t>
            </w:r>
            <w:r>
              <w:rPr>
                <w:rFonts w:hint="eastAsia" w:ascii="宋体" w:hAnsi="宋体" w:cs="Times New Roman"/>
                <w:szCs w:val="21"/>
              </w:rPr>
              <w:t>涉及生产部E5.3</w:t>
            </w:r>
            <w:r>
              <w:rPr>
                <w:rFonts w:hint="eastAsia" w:ascii="宋体" w:hAnsi="宋体" w:cs="Times New Roman"/>
                <w:szCs w:val="21"/>
                <w:lang w:eastAsia="zh-CN"/>
              </w:rPr>
              <w:t>，</w:t>
            </w:r>
            <w:r>
              <w:rPr>
                <w:rFonts w:hint="eastAsia" w:ascii="宋体" w:hAnsi="宋体" w:cs="Times New Roman"/>
                <w:szCs w:val="21"/>
                <w:lang w:val="en-US" w:eastAsia="zh-CN"/>
              </w:rPr>
              <w:t>不符合描述为“</w:t>
            </w:r>
            <w:r>
              <w:rPr>
                <w:rFonts w:hint="eastAsia" w:ascii="宋体" w:hAnsi="宋体" w:cs="Times New Roman"/>
                <w:szCs w:val="21"/>
              </w:rPr>
              <w:t>抽查主管人员,不熟悉环境职责</w:t>
            </w:r>
            <w:r>
              <w:rPr>
                <w:rFonts w:hint="eastAsia" w:ascii="宋体" w:hAnsi="宋体" w:cs="Times New Roman"/>
                <w:szCs w:val="21"/>
                <w:lang w:val="en-US" w:eastAsia="zh-CN"/>
              </w:rPr>
              <w:t>”</w:t>
            </w:r>
            <w:r>
              <w:rPr>
                <w:rFonts w:hint="eastAsia" w:ascii="宋体" w:hAnsi="宋体" w:cs="Times New Roman"/>
                <w:szCs w:val="21"/>
                <w:lang w:eastAsia="zh-CN"/>
              </w:rPr>
              <w:t>。</w:t>
            </w:r>
            <w:r>
              <w:rPr>
                <w:rFonts w:hint="eastAsia" w:ascii="宋体" w:hAnsi="宋体" w:cs="Times New Roman"/>
                <w:szCs w:val="21"/>
                <w:lang w:val="en-US" w:eastAsia="zh-CN"/>
              </w:rPr>
              <w:t>2）</w:t>
            </w:r>
            <w:r>
              <w:rPr>
                <w:rFonts w:hint="eastAsia" w:ascii="宋体" w:hAnsi="宋体" w:cs="Times New Roman"/>
                <w:szCs w:val="21"/>
              </w:rPr>
              <w:t>行政部E6.2条款</w:t>
            </w:r>
            <w:r>
              <w:rPr>
                <w:rFonts w:hint="eastAsia" w:ascii="宋体" w:hAnsi="宋体" w:cs="Times New Roman"/>
                <w:szCs w:val="21"/>
                <w:lang w:eastAsia="zh-CN"/>
              </w:rPr>
              <w:t>，</w:t>
            </w:r>
            <w:r>
              <w:rPr>
                <w:rFonts w:hint="eastAsia" w:ascii="宋体" w:hAnsi="宋体" w:cs="Times New Roman"/>
                <w:szCs w:val="21"/>
                <w:lang w:val="en-US" w:eastAsia="zh-CN"/>
              </w:rPr>
              <w:t>不符合描述为“</w:t>
            </w:r>
            <w:r>
              <w:rPr>
                <w:rFonts w:hint="eastAsia" w:ascii="宋体" w:hAnsi="宋体" w:cs="Times New Roman"/>
                <w:szCs w:val="21"/>
              </w:rPr>
              <w:t>不能提供本部门环境目标指标策划证据</w:t>
            </w:r>
            <w:r>
              <w:rPr>
                <w:rFonts w:hint="eastAsia" w:ascii="宋体" w:hAnsi="宋体" w:cs="Times New Roman"/>
                <w:szCs w:val="21"/>
                <w:lang w:val="en-US" w:eastAsia="zh-CN"/>
              </w:rPr>
              <w:t>”</w:t>
            </w:r>
            <w:r>
              <w:rPr>
                <w:rFonts w:hint="eastAsia" w:ascii="宋体" w:hAnsi="宋体"/>
                <w:sz w:val="21"/>
                <w:szCs w:val="21"/>
              </w:rPr>
              <w:t>，</w:t>
            </w:r>
            <w:r>
              <w:rPr>
                <w:rFonts w:hint="eastAsia" w:ascii="宋体" w:hAnsi="宋体" w:cs="宋体"/>
                <w:sz w:val="21"/>
                <w:szCs w:val="21"/>
              </w:rPr>
              <w:t>针对该不符合项，已及时采取纠正措施后，经内审员验证关闭。内审的有效性需要改善。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月2</w:t>
            </w:r>
            <w:r>
              <w:rPr>
                <w:rFonts w:hint="eastAsia" w:ascii="宋体" w:hAnsi="宋体"/>
                <w:color w:val="auto"/>
                <w:szCs w:val="21"/>
                <w:lang w:val="en-US" w:eastAsia="zh-CN"/>
              </w:rPr>
              <w:t>5</w:t>
            </w:r>
            <w:r>
              <w:rPr>
                <w:rFonts w:hint="eastAsia" w:ascii="宋体" w:hAnsi="宋体"/>
                <w:color w:val="auto"/>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numPr>
                <w:numId w:val="0"/>
              </w:numPr>
              <w:spacing w:line="240" w:lineRule="exact"/>
              <w:rPr>
                <w:sz w:val="21"/>
                <w:szCs w:val="21"/>
              </w:rPr>
            </w:pPr>
            <w:r>
              <w:rPr>
                <w:rFonts w:hint="eastAsia"/>
                <w:b/>
                <w:bCs/>
                <w:sz w:val="21"/>
                <w:szCs w:val="21"/>
                <w:lang w:val="en-US" w:eastAsia="zh-CN"/>
              </w:rPr>
              <w:t>5.</w:t>
            </w:r>
            <w:r>
              <w:rPr>
                <w:rFonts w:hint="eastAsia"/>
                <w:b/>
                <w:bCs/>
                <w:sz w:val="21"/>
                <w:szCs w:val="21"/>
              </w:rPr>
              <w:t xml:space="preserve"> EMS是否按规定对主要污染物（污水、废气、噪声、废渣等）及排放实施了例行的监视或测量，结果是否满足相关要求？</w:t>
            </w:r>
          </w:p>
          <w:p>
            <w:pPr>
              <w:spacing w:line="400" w:lineRule="exact"/>
              <w:rPr>
                <w:rFonts w:hint="default" w:eastAsia="宋体"/>
                <w:sz w:val="21"/>
                <w:szCs w:val="21"/>
                <w:lang w:val="en-US" w:eastAsia="zh-CN"/>
              </w:rPr>
            </w:pPr>
            <w:r>
              <w:rPr>
                <w:rFonts w:hint="eastAsia"/>
                <w:color w:val="auto"/>
                <w:szCs w:val="21"/>
                <w:lang w:val="en-US" w:eastAsia="zh-CN"/>
              </w:rPr>
              <w:t>提供有2020年4月14日环境检测报告：</w:t>
            </w:r>
            <w:r>
              <w:rPr>
                <w:rFonts w:hint="eastAsia"/>
                <w:color w:val="auto"/>
                <w:szCs w:val="21"/>
                <w:highlight w:val="none"/>
                <w:lang w:val="en-US" w:eastAsia="zh-CN"/>
              </w:rPr>
              <w:t>川绿检字（2020）第4-053A号</w:t>
            </w:r>
            <w:r>
              <w:rPr>
                <w:rFonts w:hint="eastAsia"/>
                <w:color w:val="auto"/>
                <w:szCs w:val="21"/>
                <w:highlight w:val="none"/>
              </w:rPr>
              <w:t>。</w:t>
            </w:r>
            <w:r>
              <w:rPr>
                <w:rFonts w:hint="eastAsia"/>
                <w:color w:val="auto"/>
                <w:szCs w:val="21"/>
                <w:highlight w:val="none"/>
                <w:lang w:val="en-US" w:eastAsia="zh-CN"/>
              </w:rPr>
              <w:t>2020年8月17日环境检测报告：川骋广检字（2020）第176号。符合要求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spacing w:line="240" w:lineRule="exact"/>
              <w:rPr>
                <w:b/>
                <w:color w:val="000000" w:themeColor="text1"/>
                <w:sz w:val="21"/>
                <w:szCs w:val="21"/>
              </w:rPr>
            </w:pPr>
            <w:r>
              <w:rPr>
                <w:rFonts w:hint="eastAsia"/>
                <w:b/>
                <w:color w:val="000000" w:themeColor="text1"/>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pStyle w:val="3"/>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240" w:lineRule="exact"/>
              <w:rPr>
                <w:b/>
                <w:color w:val="000000" w:themeColor="text1"/>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3. 一阶段提出问题的整改情况?</w:t>
            </w:r>
          </w:p>
          <w:p>
            <w:pPr>
              <w:spacing w:line="240" w:lineRule="exact"/>
              <w:rPr>
                <w:b/>
                <w:color w:val="000000" w:themeColor="text1"/>
                <w:spacing w:val="-20"/>
                <w:sz w:val="21"/>
                <w:szCs w:val="21"/>
              </w:rPr>
            </w:pPr>
            <w:r>
              <w:rPr>
                <w:rFonts w:hint="eastAsia"/>
                <w:b/>
                <w:color w:val="000000" w:themeColor="text1"/>
                <w:spacing w:val="-20"/>
                <w:sz w:val="21"/>
                <w:szCs w:val="21"/>
              </w:rPr>
              <w:t>无整改问题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b/>
                <w:bCs/>
                <w:sz w:val="21"/>
                <w:szCs w:val="21"/>
              </w:rPr>
            </w:pPr>
            <w:r>
              <w:rPr>
                <w:rFonts w:hint="eastAsia"/>
                <w:b/>
                <w:bCs/>
                <w:sz w:val="21"/>
                <w:szCs w:val="21"/>
              </w:rPr>
              <w:t>创新情况</w:t>
            </w:r>
          </w:p>
          <w:p>
            <w:pPr>
              <w:pStyle w:val="3"/>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b/>
                <w:bCs/>
                <w:sz w:val="21"/>
                <w:szCs w:val="21"/>
              </w:rPr>
            </w:pPr>
            <w:r>
              <w:rPr>
                <w:rFonts w:hint="eastAsia"/>
                <w:b/>
                <w:bCs/>
                <w:sz w:val="21"/>
                <w:szCs w:val="21"/>
              </w:rPr>
              <w:t>上次不符合的整改情况（再认证填写）</w:t>
            </w:r>
          </w:p>
          <w:p>
            <w:pPr>
              <w:spacing w:line="240" w:lineRule="exact"/>
              <w:rPr>
                <w:sz w:val="21"/>
                <w:szCs w:val="21"/>
              </w:rPr>
            </w:pPr>
            <w:r>
              <w:rPr>
                <w:rFonts w:hint="eastAsia"/>
                <w:sz w:val="2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供销部</w:t>
      </w:r>
      <w:r>
        <w:rPr>
          <w:rFonts w:hint="eastAsia"/>
          <w:b/>
          <w:color w:val="000000" w:themeColor="text1"/>
          <w:highlight w:val="none"/>
        </w:rPr>
        <w:t>部门</w:t>
      </w:r>
      <w:r>
        <w:rPr>
          <w:rFonts w:hint="eastAsia"/>
          <w:b/>
          <w:color w:val="000000" w:themeColor="text1"/>
          <w:highlight w:val="none"/>
          <w:lang w:val="en-US" w:eastAsia="zh-CN"/>
        </w:rPr>
        <w:t>7.4</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p>
          <w:p>
            <w:pPr>
              <w:spacing w:line="320" w:lineRule="exact"/>
              <w:rPr>
                <w:b/>
                <w:color w:val="000000" w:themeColor="text1"/>
                <w:spacing w:val="-10"/>
                <w:sz w:val="22"/>
                <w:szCs w:val="22"/>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 xml:space="preserve">塑料编织袋生产所涉及场所的相关环境管理活动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710464" behindDoc="0" locked="0" layoutInCell="1" allowOverlap="1">
            <wp:simplePos x="0" y="0"/>
            <wp:positionH relativeFrom="column">
              <wp:posOffset>1645920</wp:posOffset>
            </wp:positionH>
            <wp:positionV relativeFrom="paragraph">
              <wp:posOffset>354965</wp:posOffset>
            </wp:positionV>
            <wp:extent cx="411480" cy="381000"/>
            <wp:effectExtent l="0" t="0" r="7620" b="0"/>
            <wp:wrapNone/>
            <wp:docPr id="4"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714560" behindDoc="0" locked="0" layoutInCell="1" allowOverlap="1">
            <wp:simplePos x="0" y="0"/>
            <wp:positionH relativeFrom="column">
              <wp:posOffset>1601470</wp:posOffset>
            </wp:positionH>
            <wp:positionV relativeFrom="paragraph">
              <wp:posOffset>66675</wp:posOffset>
            </wp:positionV>
            <wp:extent cx="657860" cy="475615"/>
            <wp:effectExtent l="0" t="0" r="2540" b="698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57860" cy="47561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color w:val="000000"/>
          <w:szCs w:val="21"/>
        </w:rPr>
        <w:t>2021年07月02日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highlight w:val="none"/>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w:t>
      </w:r>
      <w:r>
        <w:rPr>
          <w:rFonts w:hint="eastAsia"/>
          <w:b/>
          <w:color w:val="000000" w:themeColor="text1"/>
          <w:spacing w:val="-10"/>
          <w:szCs w:val="21"/>
          <w:highlight w:val="none"/>
        </w:rPr>
        <w:t>重新认证</w:t>
      </w:r>
      <w:r>
        <w:rPr>
          <w:rFonts w:hint="eastAsia"/>
          <w:b/>
          <w:color w:val="000000" w:themeColor="text1"/>
          <w:szCs w:val="21"/>
          <w:highlight w:val="none"/>
        </w:rPr>
        <w:t>注册（再认证填写）</w:t>
      </w:r>
    </w:p>
    <w:p>
      <w:pPr>
        <w:spacing w:before="312" w:beforeLines="100" w:after="156" w:afterLines="50"/>
        <w:rPr>
          <w:b/>
          <w:color w:val="000000" w:themeColor="text1"/>
          <w:szCs w:val="21"/>
          <w:highlight w:val="none"/>
        </w:rPr>
      </w:pPr>
      <w:r>
        <w:rPr>
          <w:rFonts w:hint="eastAsia" w:ascii="宋体" w:hAnsi="宋体" w:eastAsia="宋体" w:cs="Times New Roman"/>
          <w:kern w:val="2"/>
          <w:sz w:val="21"/>
          <w:szCs w:val="22"/>
          <w:highlight w:val="none"/>
          <w:lang w:val="en-US" w:eastAsia="zh-CN" w:bidi="ar-SA"/>
        </w:rPr>
        <w:drawing>
          <wp:anchor distT="0" distB="0" distL="114300" distR="114300" simplePos="0" relativeHeight="251772928" behindDoc="0" locked="0" layoutInCell="1" allowOverlap="1">
            <wp:simplePos x="0" y="0"/>
            <wp:positionH relativeFrom="column">
              <wp:posOffset>820420</wp:posOffset>
            </wp:positionH>
            <wp:positionV relativeFrom="paragraph">
              <wp:posOffset>73025</wp:posOffset>
            </wp:positionV>
            <wp:extent cx="411480" cy="381000"/>
            <wp:effectExtent l="0" t="0" r="7620" b="0"/>
            <wp:wrapNone/>
            <wp:docPr id="5"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Cs w:val="21"/>
          <w:highlight w:val="none"/>
        </w:rPr>
        <w:t xml:space="preserve">组长签字:                               日期:  </w:t>
      </w:r>
      <w:r>
        <w:rPr>
          <w:rFonts w:hint="eastAsia"/>
          <w:b/>
          <w:color w:val="000000" w:themeColor="text1"/>
          <w:szCs w:val="21"/>
          <w:highlight w:val="none"/>
          <w:lang w:val="en-US" w:eastAsia="zh-CN"/>
        </w:rPr>
        <w:t>2021</w:t>
      </w:r>
      <w:r>
        <w:rPr>
          <w:rFonts w:hint="eastAsia"/>
          <w:b/>
          <w:color w:val="000000" w:themeColor="text1"/>
          <w:szCs w:val="21"/>
          <w:highlight w:val="none"/>
        </w:rPr>
        <w:t>年</w:t>
      </w:r>
      <w:r>
        <w:rPr>
          <w:rFonts w:hint="eastAsia"/>
          <w:b/>
          <w:color w:val="000000" w:themeColor="text1"/>
          <w:szCs w:val="21"/>
          <w:highlight w:val="none"/>
          <w:lang w:val="en-US" w:eastAsia="zh-CN"/>
        </w:rPr>
        <w:t>7</w:t>
      </w:r>
      <w:r>
        <w:rPr>
          <w:rFonts w:hint="eastAsia"/>
          <w:b/>
          <w:color w:val="000000" w:themeColor="text1"/>
          <w:szCs w:val="21"/>
          <w:highlight w:val="none"/>
        </w:rPr>
        <w:t>月</w:t>
      </w:r>
      <w:r>
        <w:rPr>
          <w:rFonts w:hint="eastAsia"/>
          <w:b/>
          <w:color w:val="000000" w:themeColor="text1"/>
          <w:szCs w:val="21"/>
          <w:highlight w:val="none"/>
          <w:lang w:val="en-US" w:eastAsia="zh-CN"/>
        </w:rPr>
        <w:t xml:space="preserve">5 </w:t>
      </w:r>
      <w:r>
        <w:rPr>
          <w:rFonts w:hint="eastAsia"/>
          <w:b/>
          <w:color w:val="000000" w:themeColor="text1"/>
          <w:szCs w:val="21"/>
          <w:highlight w:val="none"/>
        </w:rPr>
        <w:t>日</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CD2A8"/>
    <w:multiLevelType w:val="singleLevel"/>
    <w:tmpl w:val="9D5CD2A8"/>
    <w:lvl w:ilvl="0" w:tentative="0">
      <w:start w:val="3"/>
      <w:numFmt w:val="decimal"/>
      <w:lvlText w:val="%1."/>
      <w:lvlJc w:val="left"/>
      <w:pPr>
        <w:tabs>
          <w:tab w:val="left" w:pos="312"/>
        </w:tabs>
      </w:pPr>
    </w:lvl>
  </w:abstractNum>
  <w:abstractNum w:abstractNumId="1">
    <w:nsid w:val="B447A104"/>
    <w:multiLevelType w:val="singleLevel"/>
    <w:tmpl w:val="B447A104"/>
    <w:lvl w:ilvl="0" w:tentative="0">
      <w:start w:val="2"/>
      <w:numFmt w:val="decimal"/>
      <w:suff w:val="nothing"/>
      <w:lvlText w:val="%1、"/>
      <w:lvlJc w:val="left"/>
    </w:lvl>
  </w:abstractNum>
  <w:abstractNum w:abstractNumId="2">
    <w:nsid w:val="1FDCA167"/>
    <w:multiLevelType w:val="singleLevel"/>
    <w:tmpl w:val="1FDCA167"/>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014B25"/>
    <w:rsid w:val="43F7681D"/>
    <w:rsid w:val="5C044B2D"/>
    <w:rsid w:val="73285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nhideWhenUsed/>
    <w:qFormat/>
    <w:uiPriority w:val="0"/>
    <w:pPr>
      <w:spacing w:before="25" w:beforeLines="0" w:after="25" w:afterLines="0"/>
    </w:pPr>
    <w:rPr>
      <w:rFonts w:hint="default"/>
      <w:spacing w:val="10"/>
      <w:sz w:val="21"/>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2021-07-02T07:16:53Z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