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150"/>
        <w:gridCol w:w="1088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7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115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涉及条款</w:t>
            </w:r>
          </w:p>
        </w:tc>
        <w:tc>
          <w:tcPr>
            <w:tcW w:w="1088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受审核部门：管理层  </w:t>
            </w:r>
            <w:r>
              <w:rPr>
                <w:rFonts w:hint="eastAsia" w:ascii="宋体" w:hAnsi="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cs="宋体"/>
                <w:sz w:val="24"/>
                <w:szCs w:val="24"/>
                <w:lang w:val="en-US" w:eastAsia="zh-CN"/>
              </w:rPr>
              <w:t>刘澜涛</w:t>
            </w:r>
            <w:r>
              <w:rPr>
                <w:rFonts w:hint="eastAsia" w:ascii="宋体" w:hAnsi="宋体" w:eastAsia="宋体" w:cs="宋体"/>
                <w:sz w:val="24"/>
              </w:rPr>
              <w:t>、</w:t>
            </w:r>
            <w:r>
              <w:rPr>
                <w:rFonts w:hint="eastAsia" w:ascii="宋体" w:hAnsi="宋体" w:eastAsia="宋体" w:cs="宋体"/>
                <w:sz w:val="24"/>
                <w:szCs w:val="24"/>
                <w:lang w:val="en-US" w:eastAsia="zh-CN"/>
              </w:rPr>
              <w:t>窦广录</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陪同人员：</w:t>
            </w:r>
            <w:r>
              <w:rPr>
                <w:rFonts w:hint="eastAsia" w:ascii="宋体" w:hAnsi="宋体" w:eastAsia="宋体" w:cs="宋体"/>
                <w:sz w:val="24"/>
                <w:szCs w:val="24"/>
                <w:lang w:val="en-US" w:eastAsia="zh-CN"/>
              </w:rPr>
              <w:t>王文清</w:t>
            </w:r>
            <w:r>
              <w:rPr>
                <w:rFonts w:hint="eastAsia" w:ascii="宋体" w:hAnsi="宋体" w:eastAsia="宋体" w:cs="宋体"/>
                <w:sz w:val="24"/>
                <w:szCs w:val="24"/>
              </w:rPr>
              <w:t xml:space="preserve"> </w:t>
            </w:r>
          </w:p>
        </w:tc>
        <w:tc>
          <w:tcPr>
            <w:tcW w:w="706"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0" w:type="dxa"/>
            <w:vMerge w:val="continue"/>
            <w:vAlign w:val="center"/>
          </w:tcPr>
          <w:p>
            <w:pPr>
              <w:spacing w:line="360" w:lineRule="auto"/>
              <w:rPr>
                <w:rFonts w:hint="eastAsia" w:ascii="宋体" w:hAnsi="宋体" w:eastAsia="宋体" w:cs="宋体"/>
                <w:sz w:val="24"/>
                <w:szCs w:val="24"/>
              </w:rPr>
            </w:pPr>
          </w:p>
        </w:tc>
        <w:tc>
          <w:tcPr>
            <w:tcW w:w="1150" w:type="dxa"/>
            <w:vMerge w:val="continue"/>
            <w:vAlign w:val="center"/>
          </w:tcPr>
          <w:p>
            <w:pPr>
              <w:spacing w:line="360" w:lineRule="auto"/>
              <w:rPr>
                <w:rFonts w:hint="eastAsia" w:ascii="宋体" w:hAnsi="宋体" w:eastAsia="宋体" w:cs="宋体"/>
                <w:sz w:val="24"/>
                <w:szCs w:val="24"/>
              </w:rPr>
            </w:pPr>
          </w:p>
        </w:tc>
        <w:tc>
          <w:tcPr>
            <w:tcW w:w="10883"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李俐</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7.1</w:t>
            </w:r>
          </w:p>
        </w:tc>
        <w:tc>
          <w:tcPr>
            <w:tcW w:w="706"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970" w:type="dxa"/>
            <w:vMerge w:val="continue"/>
            <w:vAlign w:val="center"/>
          </w:tcPr>
          <w:p>
            <w:pPr>
              <w:spacing w:line="360" w:lineRule="auto"/>
              <w:rPr>
                <w:rFonts w:hint="eastAsia" w:ascii="宋体" w:hAnsi="宋体" w:eastAsia="宋体" w:cs="宋体"/>
                <w:sz w:val="24"/>
                <w:szCs w:val="24"/>
              </w:rPr>
            </w:pPr>
          </w:p>
        </w:tc>
        <w:tc>
          <w:tcPr>
            <w:tcW w:w="1150" w:type="dxa"/>
            <w:vMerge w:val="continue"/>
            <w:vAlign w:val="center"/>
          </w:tcPr>
          <w:p>
            <w:pPr>
              <w:spacing w:line="360" w:lineRule="auto"/>
              <w:rPr>
                <w:rFonts w:hint="eastAsia" w:ascii="宋体" w:hAnsi="宋体" w:eastAsia="宋体" w:cs="宋体"/>
                <w:sz w:val="24"/>
                <w:szCs w:val="24"/>
              </w:rPr>
            </w:pPr>
          </w:p>
        </w:tc>
        <w:tc>
          <w:tcPr>
            <w:tcW w:w="1088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审核条款</w:t>
            </w:r>
          </w:p>
          <w:p>
            <w:pPr>
              <w:adjustRightInd w:val="0"/>
              <w:snapToGrid w:val="0"/>
              <w:spacing w:line="360" w:lineRule="auto"/>
              <w:ind w:right="105" w:rightChars="50"/>
              <w:textAlignment w:val="baseline"/>
              <w:rPr>
                <w:rFonts w:hint="eastAsia" w:ascii="宋体" w:hAnsi="宋体" w:eastAsia="宋体" w:cs="宋体"/>
                <w:spacing w:val="-6"/>
                <w:sz w:val="21"/>
                <w:szCs w:val="21"/>
                <w:u w:val="none"/>
              </w:rPr>
            </w:pPr>
            <w:r>
              <w:rPr>
                <w:rFonts w:hint="eastAsia" w:ascii="宋体" w:hAnsi="宋体" w:eastAsia="宋体" w:cs="宋体"/>
                <w:spacing w:val="-6"/>
                <w:sz w:val="21"/>
                <w:szCs w:val="21"/>
                <w:u w:val="none"/>
              </w:rPr>
              <w:t>QEO:4.1理解组织及其环境、4.2理解相关方的需求和期望、4.3 确定管理体系的范围、4.4质量/环境/</w:t>
            </w:r>
            <w:r>
              <w:rPr>
                <w:rFonts w:hint="eastAsia" w:ascii="宋体" w:hAnsi="宋体" w:eastAsia="宋体" w:cs="宋体"/>
                <w:sz w:val="21"/>
                <w:szCs w:val="21"/>
                <w:u w:val="none"/>
              </w:rPr>
              <w:t>职业健康</w:t>
            </w:r>
            <w:r>
              <w:rPr>
                <w:rFonts w:hint="eastAsia" w:ascii="宋体" w:hAnsi="宋体" w:eastAsia="宋体" w:cs="宋体"/>
                <w:spacing w:val="-6"/>
                <w:sz w:val="21"/>
                <w:szCs w:val="21"/>
                <w:u w:val="none"/>
              </w:rPr>
              <w:t>安全管理体系及其过程、5.1领导作用和承诺、5.2质量/环境/</w:t>
            </w:r>
            <w:r>
              <w:rPr>
                <w:rFonts w:hint="eastAsia" w:ascii="宋体" w:hAnsi="宋体" w:eastAsia="宋体" w:cs="宋体"/>
                <w:sz w:val="21"/>
                <w:szCs w:val="21"/>
                <w:u w:val="none"/>
              </w:rPr>
              <w:t>职业健康</w:t>
            </w:r>
            <w:r>
              <w:rPr>
                <w:rFonts w:hint="eastAsia" w:ascii="宋体" w:hAnsi="宋体" w:eastAsia="宋体" w:cs="宋体"/>
                <w:spacing w:val="-6"/>
                <w:sz w:val="21"/>
                <w:szCs w:val="21"/>
                <w:u w:val="none"/>
              </w:rPr>
              <w:t>安全方针、5.3组织的岗位、职责和权限、O5.4协商与参与、6.1应对风险和机遇的措施、6.2质量/环境/</w:t>
            </w:r>
            <w:r>
              <w:rPr>
                <w:rFonts w:hint="eastAsia" w:ascii="宋体" w:hAnsi="宋体" w:eastAsia="宋体" w:cs="宋体"/>
                <w:sz w:val="21"/>
                <w:szCs w:val="21"/>
                <w:u w:val="none"/>
              </w:rPr>
              <w:t>职业健康</w:t>
            </w:r>
            <w:r>
              <w:rPr>
                <w:rFonts w:hint="eastAsia" w:ascii="宋体" w:hAnsi="宋体" w:eastAsia="宋体" w:cs="宋体"/>
                <w:spacing w:val="-6"/>
                <w:sz w:val="21"/>
                <w:szCs w:val="21"/>
                <w:u w:val="none"/>
              </w:rPr>
              <w:t>安全目标及其实现的策划、Q6.3变更的策划、7.1.1（EO7.1）资源总则、</w:t>
            </w:r>
            <w:r>
              <w:rPr>
                <w:rFonts w:hint="eastAsia" w:ascii="宋体" w:hAnsi="宋体" w:eastAsia="宋体" w:cs="宋体"/>
                <w:color w:val="auto"/>
                <w:spacing w:val="-6"/>
                <w:sz w:val="21"/>
                <w:szCs w:val="21"/>
                <w:u w:val="none"/>
              </w:rPr>
              <w:t>7</w:t>
            </w:r>
            <w:r>
              <w:rPr>
                <w:rFonts w:hint="eastAsia" w:ascii="宋体" w:hAnsi="宋体" w:eastAsia="宋体" w:cs="宋体"/>
                <w:spacing w:val="-6"/>
                <w:sz w:val="21"/>
                <w:szCs w:val="21"/>
                <w:u w:val="none"/>
              </w:rPr>
              <w:t>.4沟通/信息交流、9.3管理评审、10.1改进、10.3持续改进，</w:t>
            </w:r>
          </w:p>
          <w:p>
            <w:pPr>
              <w:spacing w:line="360" w:lineRule="auto"/>
              <w:rPr>
                <w:rFonts w:hint="eastAsia" w:ascii="宋体" w:hAnsi="宋体" w:eastAsia="宋体" w:cs="宋体"/>
                <w:sz w:val="24"/>
                <w:szCs w:val="24"/>
              </w:rPr>
            </w:pPr>
            <w:r>
              <w:rPr>
                <w:rFonts w:hint="eastAsia" w:ascii="宋体" w:hAnsi="宋体" w:eastAsia="宋体" w:cs="宋体"/>
                <w:spacing w:val="-6"/>
                <w:sz w:val="21"/>
                <w:szCs w:val="21"/>
                <w:u w:val="none"/>
              </w:rPr>
              <w:t>国家/地方监督抽查情况；顾客满意、相关方投诉及处理情况；</w:t>
            </w:r>
            <w:r>
              <w:rPr>
                <w:rFonts w:hint="eastAsia" w:ascii="宋体" w:hAnsi="宋体" w:cs="宋体"/>
                <w:spacing w:val="-6"/>
                <w:sz w:val="21"/>
                <w:szCs w:val="21"/>
                <w:u w:val="none"/>
                <w:lang w:eastAsia="zh-CN"/>
              </w:rPr>
              <w:t>初次审核</w:t>
            </w:r>
            <w:r>
              <w:rPr>
                <w:rFonts w:hint="eastAsia" w:ascii="宋体" w:hAnsi="宋体" w:eastAsia="宋体" w:cs="宋体"/>
                <w:spacing w:val="-6"/>
                <w:sz w:val="21"/>
                <w:szCs w:val="21"/>
                <w:u w:val="none"/>
              </w:rPr>
              <w:t>问题验证，验证企业相关资质证明的有效性</w:t>
            </w:r>
            <w:r>
              <w:rPr>
                <w:rFonts w:hint="eastAsia" w:ascii="宋体" w:hAnsi="宋体" w:eastAsia="宋体" w:cs="宋体"/>
                <w:spacing w:val="-6"/>
                <w:sz w:val="21"/>
                <w:szCs w:val="21"/>
                <w:u w:val="none"/>
                <w:lang w:eastAsia="zh-CN"/>
              </w:rPr>
              <w:t>，</w:t>
            </w:r>
            <w:r>
              <w:rPr>
                <w:rFonts w:hint="eastAsia" w:ascii="宋体" w:hAnsi="宋体" w:eastAsia="宋体" w:cs="宋体"/>
                <w:spacing w:val="-6"/>
                <w:sz w:val="21"/>
                <w:szCs w:val="21"/>
                <w:u w:val="none"/>
                <w:lang w:val="en-US" w:eastAsia="zh-CN"/>
              </w:rPr>
              <w:t>多场所情况</w:t>
            </w:r>
            <w:r>
              <w:rPr>
                <w:rFonts w:hint="eastAsia" w:ascii="宋体" w:hAnsi="宋体" w:eastAsia="宋体" w:cs="宋体"/>
                <w:spacing w:val="-6"/>
                <w:sz w:val="21"/>
                <w:szCs w:val="21"/>
                <w:u w:val="none"/>
              </w:rPr>
              <w:t>；</w:t>
            </w:r>
          </w:p>
        </w:tc>
        <w:tc>
          <w:tcPr>
            <w:tcW w:w="706"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970" w:type="dxa"/>
            <w:vAlign w:val="center"/>
          </w:tcPr>
          <w:p>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理解组织及其环境</w:t>
            </w:r>
          </w:p>
        </w:tc>
        <w:tc>
          <w:tcPr>
            <w:tcW w:w="1150" w:type="dxa"/>
            <w:vAlign w:val="center"/>
          </w:tcPr>
          <w:p>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QEO：4.1</w:t>
            </w:r>
          </w:p>
        </w:tc>
        <w:tc>
          <w:tcPr>
            <w:tcW w:w="10883" w:type="dxa"/>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面谈人员：最管理者：刘澜涛，管代：窦广录，</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提供了组织营业执照：公司成立于2019年7月4日，法人代表：liulantao，公司注册资本200万澳大利亚元。</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注册地址：天津自贸试验区(中心商务区)金昌道637号宝正大厦15层G区1501-093，</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生产经营地址：天津自贸试验区(中心商务区)金昌道637号宝正大厦15层G区1501-093，</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经营范围：技术进出口；货物进出口；道路货物运输(不含危险货物)。 ( 依法须经批准的项目，经相关</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部门批准后方可开展经营活动，具体经营项目以相关部门批准文件或许可证件为准)。</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一股项目:技术服务、技术开发、技术转让、技术推广:石油钻采专用设备销售；环境保护专用设备销售；电子元器件与机电组件设备销售；防腐材科销售</w:t>
            </w:r>
            <w:r>
              <w:rPr>
                <w:rFonts w:hint="eastAsia" w:ascii="宋体" w:hAnsi="宋体" w:eastAsia="宋体" w:cs="宋体"/>
                <w:i/>
                <w:iCs/>
                <w:kern w:val="2"/>
                <w:sz w:val="21"/>
                <w:szCs w:val="21"/>
                <w:lang w:val="en-US" w:eastAsia="zh-CN" w:bidi="ar-SA"/>
              </w:rPr>
              <w:t>:</w:t>
            </w:r>
            <w:r>
              <w:rPr>
                <w:rFonts w:hint="eastAsia" w:ascii="宋体" w:hAnsi="宋体" w:eastAsia="宋体" w:cs="宋体"/>
                <w:kern w:val="2"/>
                <w:sz w:val="21"/>
                <w:szCs w:val="21"/>
                <w:lang w:val="en-US" w:eastAsia="zh-CN" w:bidi="ar-SA"/>
              </w:rPr>
              <w:t>保温材科销售专用化学品销售(不含危险化学品) :数据处理服务；生物化工产品技术研发:新兴能源技术研发:新材料技术研发:智能机器人的研发智能机器人销售:人</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工智能应用软件开发:固体废物治理:物业管理:园林绿化工程施工:工程管理服务。 (除依法须经批准</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的项日外，凭营业执照依法自主开展经营活动)</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法人资格满足要求。</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查到了企业的营业执照，经营范围包括了认证范围内产品。</w:t>
            </w:r>
          </w:p>
          <w:p>
            <w:pPr>
              <w:snapToGrid w:val="0"/>
              <w:spacing w:line="360" w:lineRule="auto"/>
              <w:rPr>
                <w:rFonts w:hint="eastAsia" w:ascii="宋体" w:hAnsi="宋体" w:eastAsia="宋体" w:cs="宋体"/>
                <w:spacing w:val="-6"/>
                <w:sz w:val="21"/>
                <w:szCs w:val="21"/>
                <w:u w:val="none"/>
              </w:rPr>
            </w:pPr>
            <w:r>
              <w:rPr>
                <w:rFonts w:hint="eastAsia" w:ascii="宋体" w:hAnsi="宋体" w:eastAsia="宋体" w:cs="宋体"/>
                <w:kern w:val="2"/>
                <w:sz w:val="21"/>
                <w:szCs w:val="21"/>
                <w:lang w:val="en-US" w:eastAsia="zh-CN" w:bidi="ar-SA"/>
              </w:rPr>
              <w:t>组织机构：行政部、技术部、供销部、生产部组织机构未发生变化，人数：25人</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pacing w:val="-6"/>
                <w:sz w:val="21"/>
                <w:szCs w:val="21"/>
                <w:u w:val="none"/>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06" w:type="dxa"/>
          </w:tcPr>
          <w:p>
            <w:pPr>
              <w:spacing w:line="360" w:lineRule="auto"/>
              <w:rPr>
                <w:rFonts w:hint="eastAsia"/>
                <w:lang w:val="en-US" w:eastAsia="zh-CN"/>
              </w:rPr>
            </w:pPr>
            <w:r>
              <w:rPr>
                <w:rFonts w:hint="eastAsia"/>
                <w:lang w:val="en-US" w:eastAsia="zh-CN"/>
              </w:rPr>
              <w:t xml:space="preserve">   </w:t>
            </w: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ind w:left="260" w:hanging="260" w:hangingChars="100"/>
              <w:rPr>
                <w:rFonts w:hint="default" w:ascii="宋体" w:hAnsi="宋体" w:cs="宋体"/>
                <w:sz w:val="24"/>
                <w:szCs w:val="24"/>
                <w:lang w:val="en-US" w:eastAsia="zh-CN"/>
              </w:rPr>
            </w:pPr>
            <w:r>
              <w:rPr>
                <w:rFonts w:hint="eastAsia" w:ascii="宋体" w:hAnsi="宋体" w:cs="宋体"/>
                <w:sz w:val="24"/>
                <w:szCs w:val="24"/>
                <w:lang w:val="en-US" w:eastAsia="zh-CN"/>
              </w:rPr>
              <w:t xml:space="preserve">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970" w:type="dxa"/>
            <w:vAlign w:val="center"/>
          </w:tcPr>
          <w:p>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理解相关方的需求和期望</w:t>
            </w:r>
          </w:p>
        </w:tc>
        <w:tc>
          <w:tcPr>
            <w:tcW w:w="1150"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QEO：4.2</w:t>
            </w:r>
          </w:p>
        </w:tc>
        <w:tc>
          <w:tcPr>
            <w:tcW w:w="10883" w:type="dxa"/>
            <w:vAlign w:val="center"/>
          </w:tcPr>
          <w:p>
            <w:pPr>
              <w:spacing w:line="360" w:lineRule="auto"/>
              <w:ind w:firstLine="396" w:firstLineChars="200"/>
              <w:rPr>
                <w:rFonts w:hint="eastAsia" w:ascii="宋体" w:hAnsi="宋体" w:eastAsia="宋体" w:cs="宋体"/>
                <w:spacing w:val="-6"/>
                <w:sz w:val="21"/>
                <w:szCs w:val="21"/>
                <w:u w:val="none"/>
              </w:rPr>
            </w:pPr>
            <w:r>
              <w:rPr>
                <w:rFonts w:hint="eastAsia" w:ascii="宋体" w:hAnsi="宋体" w:eastAsia="宋体" w:cs="宋体"/>
                <w:spacing w:val="-6"/>
                <w:sz w:val="21"/>
                <w:szCs w:val="21"/>
                <w:u w:val="none"/>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396" w:firstLineChars="200"/>
              <w:rPr>
                <w:rFonts w:hint="eastAsia" w:ascii="宋体" w:hAnsi="宋体" w:eastAsia="宋体" w:cs="宋体"/>
                <w:kern w:val="2"/>
                <w:sz w:val="24"/>
                <w:szCs w:val="24"/>
                <w:lang w:val="en-US" w:eastAsia="zh-CN" w:bidi="ar-SA"/>
              </w:rPr>
            </w:pPr>
            <w:r>
              <w:rPr>
                <w:rFonts w:hint="eastAsia" w:ascii="宋体" w:hAnsi="宋体" w:eastAsia="宋体" w:cs="宋体"/>
                <w:spacing w:val="-6"/>
                <w:sz w:val="21"/>
                <w:szCs w:val="21"/>
                <w:u w:val="none"/>
              </w:rPr>
              <w:t>基本识别了与组织管理体系有关的相关方和要求</w:t>
            </w:r>
            <w:r>
              <w:rPr>
                <w:rFonts w:hint="eastAsia" w:ascii="宋体" w:hAnsi="宋体" w:eastAsia="宋体" w:cs="宋体"/>
                <w:spacing w:val="-6"/>
                <w:sz w:val="21"/>
                <w:szCs w:val="21"/>
                <w:u w:val="none"/>
                <w:lang w:val="zh-CN"/>
              </w:rPr>
              <w:t>。</w:t>
            </w:r>
          </w:p>
        </w:tc>
        <w:tc>
          <w:tcPr>
            <w:tcW w:w="706" w:type="dxa"/>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970"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w:t>
            </w:r>
            <w:r>
              <w:rPr>
                <w:rFonts w:hint="eastAsia" w:ascii="宋体" w:hAnsi="宋体" w:cs="宋体"/>
                <w:sz w:val="24"/>
                <w:szCs w:val="24"/>
                <w:lang w:eastAsia="zh-CN"/>
              </w:rPr>
              <w:t>、</w:t>
            </w:r>
            <w:r>
              <w:rPr>
                <w:rFonts w:hint="eastAsia" w:ascii="宋体" w:hAnsi="宋体" w:eastAsia="宋体" w:cs="宋体"/>
                <w:sz w:val="24"/>
                <w:szCs w:val="24"/>
              </w:rPr>
              <w:t>环境</w:t>
            </w:r>
            <w:r>
              <w:rPr>
                <w:rFonts w:hint="eastAsia" w:ascii="宋体" w:hAnsi="宋体" w:cs="宋体"/>
                <w:sz w:val="24"/>
                <w:szCs w:val="24"/>
                <w:lang w:eastAsia="zh-CN"/>
              </w:rPr>
              <w:t>、</w:t>
            </w:r>
            <w:r>
              <w:rPr>
                <w:rFonts w:hint="eastAsia" w:ascii="宋体" w:hAnsi="宋体" w:eastAsia="宋体" w:cs="宋体"/>
                <w:sz w:val="24"/>
                <w:szCs w:val="24"/>
              </w:rPr>
              <w:t>职业健康安全管理体系的范围</w:t>
            </w:r>
          </w:p>
        </w:tc>
        <w:tc>
          <w:tcPr>
            <w:tcW w:w="1150" w:type="dxa"/>
            <w:vAlign w:val="center"/>
          </w:tcPr>
          <w:p>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QEO：4.3 </w:t>
            </w:r>
          </w:p>
        </w:tc>
        <w:tc>
          <w:tcPr>
            <w:tcW w:w="10883" w:type="dxa"/>
            <w:vAlign w:val="center"/>
          </w:tcPr>
          <w:p>
            <w:pPr>
              <w:spacing w:line="360" w:lineRule="auto"/>
              <w:rPr>
                <w:rFonts w:hint="eastAsia" w:ascii="宋体" w:hAnsi="宋体" w:eastAsia="宋体" w:cs="宋体"/>
                <w:spacing w:val="-6"/>
                <w:sz w:val="21"/>
                <w:szCs w:val="21"/>
                <w:u w:val="none"/>
              </w:rPr>
            </w:pPr>
            <w:r>
              <w:rPr>
                <w:rFonts w:hint="eastAsia" w:ascii="宋体" w:hAnsi="宋体" w:eastAsia="宋体" w:cs="宋体"/>
                <w:spacing w:val="-6"/>
                <w:sz w:val="21"/>
                <w:szCs w:val="21"/>
                <w:u w:val="none"/>
              </w:rPr>
              <w:t>自运行以来企业的管理体系范围没有变化：</w:t>
            </w:r>
          </w:p>
          <w:p>
            <w:pPr>
              <w:spacing w:line="360" w:lineRule="auto"/>
              <w:rPr>
                <w:rFonts w:hint="eastAsia" w:ascii="宋体" w:hAnsi="宋体" w:eastAsia="宋体" w:cs="宋体"/>
                <w:spacing w:val="-6"/>
                <w:sz w:val="21"/>
                <w:szCs w:val="21"/>
                <w:u w:val="none"/>
              </w:rPr>
            </w:pPr>
            <w:r>
              <w:rPr>
                <w:rFonts w:hint="eastAsia" w:ascii="宋体" w:hAnsi="宋体" w:eastAsia="宋体" w:cs="宋体"/>
                <w:spacing w:val="-6"/>
                <w:sz w:val="21"/>
                <w:szCs w:val="21"/>
                <w:u w:val="none"/>
              </w:rPr>
              <w:t>Q：机械制造（智能化工业机器人）、钻井泥浆无害化处理设备、电磁加热设备和电磁加热三项分离装置、固体废弃物处理设备设计、销售；采油设备、石油钻采机械部件的销售</w:t>
            </w:r>
            <w:r>
              <w:rPr>
                <w:rFonts w:hint="eastAsia" w:ascii="宋体" w:hAnsi="宋体" w:cs="宋体"/>
                <w:spacing w:val="-6"/>
                <w:sz w:val="21"/>
                <w:szCs w:val="21"/>
                <w:u w:val="none"/>
                <w:lang w:eastAsia="zh-CN"/>
              </w:rPr>
              <w:t>；</w:t>
            </w:r>
            <w:r>
              <w:rPr>
                <w:rFonts w:hint="eastAsia" w:ascii="宋体" w:hAnsi="宋体" w:eastAsia="宋体" w:cs="宋体"/>
                <w:spacing w:val="-6"/>
                <w:sz w:val="21"/>
                <w:szCs w:val="21"/>
                <w:u w:val="none"/>
              </w:rPr>
              <w:t>油田技术服务；钻井泥浆（水基泥浆、油基泥浆、盐水泥浆）不落地无害化处理技术服务；环保专用设备设计及技术服务；</w:t>
            </w:r>
          </w:p>
          <w:p>
            <w:pPr>
              <w:spacing w:line="360" w:lineRule="auto"/>
              <w:rPr>
                <w:rFonts w:hint="eastAsia" w:ascii="宋体" w:hAnsi="宋体" w:eastAsia="宋体" w:cs="宋体"/>
                <w:spacing w:val="-6"/>
                <w:sz w:val="21"/>
                <w:szCs w:val="21"/>
                <w:u w:val="none"/>
              </w:rPr>
            </w:pPr>
            <w:r>
              <w:rPr>
                <w:rFonts w:hint="eastAsia" w:ascii="宋体" w:hAnsi="宋体" w:eastAsia="宋体" w:cs="宋体"/>
                <w:spacing w:val="-6"/>
                <w:sz w:val="21"/>
                <w:szCs w:val="21"/>
                <w:u w:val="none"/>
              </w:rPr>
              <w:t>E：机械制造（智能化工业机器人）、钻井泥浆无害化处理设备、电磁加热设备和电磁加热三项分离装置、固体废弃物处理设备设计、销售；采油设备、石油钻采机械部件的销售</w:t>
            </w:r>
            <w:r>
              <w:rPr>
                <w:rFonts w:hint="eastAsia" w:ascii="宋体" w:hAnsi="宋体" w:cs="宋体"/>
                <w:spacing w:val="-6"/>
                <w:sz w:val="21"/>
                <w:szCs w:val="21"/>
                <w:u w:val="none"/>
                <w:lang w:eastAsia="zh-CN"/>
              </w:rPr>
              <w:t>；</w:t>
            </w:r>
            <w:r>
              <w:rPr>
                <w:rFonts w:hint="eastAsia" w:ascii="宋体" w:hAnsi="宋体" w:eastAsia="宋体" w:cs="宋体"/>
                <w:spacing w:val="-6"/>
                <w:sz w:val="21"/>
                <w:szCs w:val="21"/>
                <w:u w:val="none"/>
              </w:rPr>
              <w:t>油田技术服务；钻井泥浆（水基泥浆、油基泥浆、盐水泥浆）不落地无害化处理技术服务；环保专用设备设计及技术服务所涉及的相关环境管理活动；</w:t>
            </w:r>
          </w:p>
          <w:p>
            <w:pPr>
              <w:spacing w:line="360" w:lineRule="auto"/>
              <w:rPr>
                <w:rFonts w:hint="eastAsia" w:ascii="宋体" w:hAnsi="宋体" w:eastAsia="宋体" w:cs="宋体"/>
                <w:color w:val="FF0000"/>
                <w:kern w:val="2"/>
                <w:sz w:val="24"/>
                <w:szCs w:val="24"/>
                <w:lang w:val="en-US" w:eastAsia="zh-CN" w:bidi="ar-SA"/>
              </w:rPr>
            </w:pPr>
            <w:r>
              <w:rPr>
                <w:rFonts w:hint="eastAsia" w:ascii="宋体" w:hAnsi="宋体" w:eastAsia="宋体" w:cs="宋体"/>
                <w:spacing w:val="-6"/>
                <w:sz w:val="21"/>
                <w:szCs w:val="21"/>
                <w:u w:val="none"/>
              </w:rPr>
              <w:t>O：机械制造（智能化工业机器人）、钻井泥浆无害化处理设备、电磁加热设备和电磁加热三项分离装置、固体废弃物处理设备设计、销售；采油设备、石油钻采机械部件的销售</w:t>
            </w:r>
            <w:r>
              <w:rPr>
                <w:rFonts w:hint="eastAsia" w:ascii="宋体" w:hAnsi="宋体" w:cs="宋体"/>
                <w:spacing w:val="-6"/>
                <w:sz w:val="21"/>
                <w:szCs w:val="21"/>
                <w:u w:val="none"/>
                <w:lang w:eastAsia="zh-CN"/>
              </w:rPr>
              <w:t>；</w:t>
            </w:r>
            <w:r>
              <w:rPr>
                <w:rFonts w:hint="eastAsia" w:ascii="宋体" w:hAnsi="宋体" w:eastAsia="宋体" w:cs="宋体"/>
                <w:spacing w:val="-6"/>
                <w:sz w:val="21"/>
                <w:szCs w:val="21"/>
                <w:u w:val="none"/>
              </w:rPr>
              <w:t>油田技术服务；钻井泥浆（水基泥浆、油基泥浆、盐水泥浆）不落地无害化处理技术服务；环保专用设备设计及技术服务所涉及的相关职业健康安全管理活动；</w:t>
            </w:r>
          </w:p>
        </w:tc>
        <w:tc>
          <w:tcPr>
            <w:tcW w:w="706" w:type="dxa"/>
          </w:tcPr>
          <w:p>
            <w:pPr>
              <w:spacing w:line="360" w:lineRule="auto"/>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970"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质量/环境/职业健康安全管理体系及其过程</w:t>
            </w:r>
          </w:p>
        </w:tc>
        <w:tc>
          <w:tcPr>
            <w:tcW w:w="1150"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QEO：4.4  </w:t>
            </w:r>
          </w:p>
        </w:tc>
        <w:tc>
          <w:tcPr>
            <w:tcW w:w="10883"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公司按照 GB/T19001-2016 、GB/T24001-2016和GB/T45001-2020  标准的要求识别了质量/环境/职业健康安全管理所需的过程及相互作用，识别了质量和环境、职业健康安全管理体系涉及的各个过程。</w:t>
            </w:r>
          </w:p>
          <w:p>
            <w:pPr>
              <w:spacing w:beforeLines="30" w:afterLines="30" w:line="360" w:lineRule="auto"/>
              <w:rPr>
                <w:rFonts w:hint="eastAsia" w:ascii="宋体" w:hAnsi="宋体" w:eastAsia="宋体" w:cs="宋体"/>
                <w:kern w:val="2"/>
                <w:sz w:val="24"/>
                <w:szCs w:val="24"/>
                <w:lang w:val="en-US" w:eastAsia="zh-CN" w:bidi="ar-SA"/>
              </w:rPr>
            </w:pPr>
            <w:r>
              <w:rPr>
                <w:rFonts w:hint="eastAsia" w:ascii="Times New Roman" w:hAnsi="Times New Roman" w:eastAsia="宋体" w:cs="Times New Roman"/>
                <w:lang w:val="en-US" w:eastAsia="zh-CN"/>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706" w:type="dxa"/>
          </w:tcPr>
          <w:p>
            <w:pPr>
              <w:pStyle w:val="2"/>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0" w:type="dxa"/>
            <w:vAlign w:val="center"/>
          </w:tcPr>
          <w:p>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领导作用和承诺、组织的岗位职责和权限</w:t>
            </w:r>
          </w:p>
        </w:tc>
        <w:tc>
          <w:tcPr>
            <w:tcW w:w="1150" w:type="dxa"/>
            <w:vAlign w:val="center"/>
          </w:tcPr>
          <w:p>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 xml:space="preserve">QEO：5.1，5.3  </w:t>
            </w:r>
          </w:p>
        </w:tc>
        <w:tc>
          <w:tcPr>
            <w:tcW w:w="10883" w:type="dxa"/>
            <w:vAlign w:val="center"/>
          </w:tcPr>
          <w:p>
            <w:pPr>
              <w:spacing w:beforeLines="30" w:afterLines="30" w:line="360" w:lineRule="auto"/>
              <w:rPr>
                <w:rFonts w:hint="eastAsia"/>
              </w:rPr>
            </w:pPr>
            <w:r>
              <w:rPr>
                <w:rFonts w:hint="eastAsia"/>
              </w:rPr>
              <w:t>管代</w:t>
            </w:r>
            <w:r>
              <w:rPr>
                <w:rFonts w:hint="eastAsia"/>
                <w:lang w:val="en-US" w:eastAsia="zh-CN"/>
              </w:rPr>
              <w:t>窦广录</w:t>
            </w:r>
            <w:r>
              <w:rPr>
                <w:rFonts w:hint="eastAsia"/>
              </w:rPr>
              <w:t>介绍，公司管理体系</w:t>
            </w:r>
            <w:r>
              <w:rPr>
                <w:rFonts w:hint="eastAsia"/>
                <w:lang w:eastAsia="zh-CN"/>
              </w:rPr>
              <w:t>部门：</w:t>
            </w:r>
            <w:r>
              <w:rPr>
                <w:rFonts w:hint="eastAsia"/>
              </w:rPr>
              <w:t>行政部、技术部、</w:t>
            </w:r>
            <w:r>
              <w:rPr>
                <w:rFonts w:hint="eastAsia"/>
                <w:lang w:val="en-US" w:eastAsia="zh-CN"/>
              </w:rPr>
              <w:t>供销</w:t>
            </w:r>
            <w:r>
              <w:rPr>
                <w:rFonts w:hint="eastAsia"/>
              </w:rPr>
              <w:t>部、</w:t>
            </w:r>
            <w:r>
              <w:rPr>
                <w:rFonts w:hint="eastAsia"/>
                <w:lang w:val="en-US" w:eastAsia="zh-CN"/>
              </w:rPr>
              <w:t>生产</w:t>
            </w:r>
            <w:r>
              <w:rPr>
                <w:rFonts w:hint="eastAsia"/>
              </w:rPr>
              <w:t>部</w:t>
            </w:r>
            <w:r>
              <w:rPr>
                <w:rFonts w:hint="eastAsia"/>
                <w:lang w:eastAsia="zh-CN"/>
              </w:rPr>
              <w:t>各</w:t>
            </w:r>
            <w:r>
              <w:rPr>
                <w:rFonts w:hint="eastAsia"/>
              </w:rPr>
              <w:t>岗位职责</w:t>
            </w:r>
            <w:r>
              <w:rPr>
                <w:rFonts w:hint="eastAsia"/>
                <w:lang w:eastAsia="zh-CN"/>
              </w:rPr>
              <w:t>明确</w:t>
            </w:r>
            <w:r>
              <w:rPr>
                <w:rFonts w:hint="eastAsia"/>
              </w:rPr>
              <w:t>，</w:t>
            </w:r>
            <w:r>
              <w:rPr>
                <w:rFonts w:hint="eastAsia"/>
                <w:lang w:eastAsia="zh-CN"/>
              </w:rPr>
              <w:t>运行良好</w:t>
            </w:r>
            <w:r>
              <w:rPr>
                <w:rFonts w:hint="eastAsia"/>
              </w:rPr>
              <w:t>。</w:t>
            </w:r>
          </w:p>
          <w:p>
            <w:pPr>
              <w:spacing w:beforeLines="30" w:afterLines="30" w:line="360" w:lineRule="auto"/>
              <w:rPr>
                <w:rFonts w:hint="eastAsia"/>
              </w:rPr>
            </w:pPr>
            <w:r>
              <w:rPr>
                <w:rFonts w:hint="eastAsia"/>
              </w:rPr>
              <w:t>总经理</w:t>
            </w:r>
            <w:r>
              <w:rPr>
                <w:rFonts w:hint="eastAsia"/>
                <w:lang w:val="en-US" w:eastAsia="zh-CN"/>
              </w:rPr>
              <w:t>刘澜涛</w:t>
            </w:r>
            <w:r>
              <w:rPr>
                <w:rFonts w:hint="eastAsia"/>
              </w:rPr>
              <w:t>，主要负责公司全面工作，日常主要侧重于公司财务及采购销售工作，根据体系的要求，负责组织制定方针、目标，管理评审等工作；确保本公司三体系所需的过程得到建立、实施和保持；在全公司范围内促进满足顾客要求意识、环境保护意识、职业健康安全意识的形成和提高；就体系有关事宜对外联系。</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代窦广录，主要负责公司产品的生产组织、行政及体系工作，确保质量、环境、职业健康安全管理体系的过程得到建立和保持。向最高管理者报告质量、环境、职业健康安全管理体系的业绩和改进需求。在组织内促进满足顾客要求，实施污染预防，保障员工健康，实现安全作业意识的形成和保持。负责质量、环境、职业健康安全管理体系有关对外联络事宜。</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经交流总经理和管代熟悉管理体系的基本运行情况，比较重视体系建设。</w:t>
            </w:r>
          </w:p>
          <w:p>
            <w:pPr>
              <w:spacing w:beforeLines="30" w:afterLines="30" w:line="360" w:lineRule="auto"/>
              <w:rPr>
                <w:rFonts w:hint="eastAsia"/>
                <w:lang w:val="en-US" w:eastAsia="zh-CN"/>
              </w:rPr>
            </w:pPr>
            <w:r>
              <w:rPr>
                <w:rFonts w:hint="eastAsia" w:ascii="Times New Roman" w:hAnsi="Times New Roman" w:eastAsia="宋体" w:cs="Times New Roman"/>
                <w:lang w:val="en-US"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询问管代、陪同人员，均了解其职责。</w:t>
            </w:r>
          </w:p>
        </w:tc>
        <w:tc>
          <w:tcPr>
            <w:tcW w:w="706" w:type="dxa"/>
          </w:tcPr>
          <w:p>
            <w:pPr>
              <w:spacing w:line="360" w:lineRule="auto"/>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方针</w:t>
            </w: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QEO：5.2 </w:t>
            </w:r>
          </w:p>
        </w:tc>
        <w:tc>
          <w:tcPr>
            <w:tcW w:w="10883"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企业已经制定质量、环境、安全方针，具体包含在《管理手册》，公司的方针是：</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公司的质量方针是：</w:t>
            </w:r>
          </w:p>
          <w:p>
            <w:pPr>
              <w:spacing w:beforeLines="30" w:afterLines="30"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质量为先、创新为重、诚实守信、顾客至上。</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公司的环境、职业健康安全方针：</w:t>
            </w:r>
          </w:p>
          <w:p>
            <w:pPr>
              <w:spacing w:beforeLines="30" w:afterLines="30"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遵纪守法，重视效益，防治污染，持续发展；以人为本，遵纪守法，预防危害，持续改进。</w:t>
            </w:r>
          </w:p>
          <w:p>
            <w:pPr>
              <w:spacing w:beforeLines="30" w:afterLines="30" w:line="360" w:lineRule="auto"/>
              <w:rPr>
                <w:rFonts w:hint="eastAsia" w:ascii="宋体" w:hAnsi="宋体" w:eastAsia="宋体" w:cs="宋体"/>
                <w:sz w:val="24"/>
                <w:szCs w:val="24"/>
              </w:rPr>
            </w:pPr>
            <w:r>
              <w:rPr>
                <w:rFonts w:hint="eastAsia" w:ascii="Times New Roman" w:hAnsi="Times New Roman" w:eastAsia="宋体" w:cs="Times New Roman"/>
                <w:lang w:val="en-US" w:eastAsia="zh-CN"/>
              </w:rPr>
              <w:t>查领导层参与制定管理体系方针的情况，是否熟悉组织的管理体系方针内容、含义： 总经理: 刘澜涛；管代：窦广录，按照标准要求制订的方针，并介绍了方针的含义，对体系知识的学习还需加强。管理评审对质量、环境方针的适宜性作了评审，判定适宜，适合公司的发展需求。质量、环境方针符合标准要求。</w:t>
            </w:r>
          </w:p>
        </w:tc>
        <w:tc>
          <w:tcPr>
            <w:tcW w:w="706" w:type="dxa"/>
          </w:tcPr>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应对风险和机会的措施</w:t>
            </w: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QEO：6.1</w:t>
            </w:r>
          </w:p>
        </w:tc>
        <w:tc>
          <w:tcPr>
            <w:tcW w:w="10883" w:type="dxa"/>
            <w:vAlign w:val="center"/>
          </w:tcPr>
          <w:p>
            <w:pPr>
              <w:spacing w:beforeLines="30" w:afterLines="30" w:line="360" w:lineRule="auto"/>
              <w:rPr>
                <w:rFonts w:hint="eastAsia" w:ascii="宋体" w:hAnsi="宋体" w:eastAsia="宋体" w:cs="宋体"/>
                <w:sz w:val="24"/>
                <w:szCs w:val="24"/>
              </w:rPr>
            </w:pPr>
            <w:r>
              <w:rPr>
                <w:rFonts w:hint="eastAsia" w:ascii="Times New Roman" w:hAnsi="Times New Roman" w:eastAsia="宋体" w:cs="Times New Roman"/>
                <w:lang w:val="en-US" w:eastAsia="zh-CN"/>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706" w:type="dxa"/>
          </w:tcPr>
          <w:p>
            <w:pPr>
              <w:spacing w:line="360" w:lineRule="auto"/>
              <w:ind w:firstLine="240" w:firstLineChars="100"/>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目标和措施计划（管理方案）</w:t>
            </w: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QEO：6.2  </w:t>
            </w:r>
          </w:p>
        </w:tc>
        <w:tc>
          <w:tcPr>
            <w:tcW w:w="10883"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管理目标：</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产品质量目标：a）合同履约率 100%；b）产品出厂合格率100%； c）顾客满意度≥96%。</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环境管理目标：a) 固体废弃物分类管理    b)环保无环保投诉  c) 火灾事故为零          </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职业健康安全目标：a)火灾事故为零     </w:t>
            </w:r>
          </w:p>
          <w:p>
            <w:pPr>
              <w:spacing w:beforeLines="30" w:afterLines="30" w:line="360" w:lineRule="auto"/>
              <w:rPr>
                <w:rFonts w:hint="eastAsia" w:ascii="宋体" w:hAnsi="宋体" w:eastAsia="宋体" w:cs="宋体"/>
                <w:sz w:val="24"/>
                <w:szCs w:val="24"/>
              </w:rPr>
            </w:pPr>
            <w:r>
              <w:rPr>
                <w:rFonts w:hint="eastAsia" w:ascii="Times New Roman" w:hAnsi="Times New Roman" w:eastAsia="宋体" w:cs="Times New Roman"/>
                <w:lang w:val="en-US" w:eastAsia="zh-CN"/>
              </w:rPr>
              <w:t>组织对公司质量、环境、职业健康安全目标、指标予以分解，并在相关职能层次部门建立分目标，2021.7.5统计指标已达成，具体达成情况见各部门目标完成记录单。</w:t>
            </w:r>
          </w:p>
        </w:tc>
        <w:tc>
          <w:tcPr>
            <w:tcW w:w="706" w:type="dxa"/>
          </w:tcPr>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970"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变更的策划</w:t>
            </w:r>
          </w:p>
        </w:tc>
        <w:tc>
          <w:tcPr>
            <w:tcW w:w="1150"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宋体" w:hAnsi="宋体" w:eastAsia="宋体" w:cs="宋体"/>
                <w:sz w:val="24"/>
                <w:szCs w:val="24"/>
                <w:lang w:val="en-US" w:eastAsia="zh-CN"/>
              </w:rPr>
              <w:t>Q：6.3</w:t>
            </w:r>
          </w:p>
        </w:tc>
        <w:tc>
          <w:tcPr>
            <w:tcW w:w="10883"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总经理介绍变更时应考虑到：变更目的及其潜在后果；管理体系的完整性；资源的可获得性；责任和权限的分配或再分配。并要求对变更管理体系应进行评审，确保文件的适宜性，经批准后发布实施。</w:t>
            </w:r>
          </w:p>
        </w:tc>
        <w:tc>
          <w:tcPr>
            <w:tcW w:w="706" w:type="dxa"/>
          </w:tcPr>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资源</w:t>
            </w: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Q：7.1.1</w:t>
            </w:r>
          </w:p>
          <w:p>
            <w:pPr>
              <w:spacing w:line="360" w:lineRule="auto"/>
              <w:rPr>
                <w:rFonts w:hint="eastAsia" w:ascii="宋体" w:hAnsi="宋体" w:eastAsia="宋体" w:cs="宋体"/>
                <w:sz w:val="24"/>
                <w:szCs w:val="24"/>
              </w:rPr>
            </w:pPr>
            <w:r>
              <w:rPr>
                <w:rFonts w:hint="eastAsia" w:ascii="宋体" w:hAnsi="宋体" w:eastAsia="宋体" w:cs="宋体"/>
                <w:sz w:val="24"/>
                <w:szCs w:val="24"/>
              </w:rPr>
              <w:t>EO：7.1</w:t>
            </w:r>
          </w:p>
        </w:tc>
        <w:tc>
          <w:tcPr>
            <w:tcW w:w="10883" w:type="dxa"/>
            <w:vAlign w:val="center"/>
          </w:tcPr>
          <w:p>
            <w:pPr>
              <w:spacing w:beforeLines="30" w:afterLines="30"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总经理主持了今年的管理评审，对方针、目标的适宜性进行了评审，协助管代进行了内审，确保所需资源得到满足。</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确保公司环保、安全资金得得以保障，公司每年制定专门预算，及时提供有关资金，确保本公司各项资金及时到位，保证环保、安全活动得到实施，达到预防污染、安全第一的活动目的。通过观察组织的办公设备有台式电脑、笔记本电脑、办公桌椅、投影仪、打印机、固定电话、网线钳等。</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drawing>
                <wp:anchor distT="0" distB="0" distL="114300" distR="114300" simplePos="0" relativeHeight="251660288" behindDoc="0" locked="0" layoutInCell="1" allowOverlap="1">
                  <wp:simplePos x="0" y="0"/>
                  <wp:positionH relativeFrom="column">
                    <wp:posOffset>4525010</wp:posOffset>
                  </wp:positionH>
                  <wp:positionV relativeFrom="paragraph">
                    <wp:posOffset>64135</wp:posOffset>
                  </wp:positionV>
                  <wp:extent cx="1643380" cy="2212340"/>
                  <wp:effectExtent l="0" t="0" r="7620" b="10160"/>
                  <wp:wrapNone/>
                  <wp:docPr id="3" name="图片 3" descr="615a2bc2ba8224b74507ee71fbc1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5a2bc2ba8224b74507ee71fbc1e9d"/>
                          <pic:cNvPicPr>
                            <a:picLocks noChangeAspect="1"/>
                          </pic:cNvPicPr>
                        </pic:nvPicPr>
                        <pic:blipFill>
                          <a:blip r:embed="rId6"/>
                          <a:stretch>
                            <a:fillRect/>
                          </a:stretch>
                        </pic:blipFill>
                        <pic:spPr>
                          <a:xfrm>
                            <a:off x="0" y="0"/>
                            <a:ext cx="1643380" cy="2212340"/>
                          </a:xfrm>
                          <a:prstGeom prst="rect">
                            <a:avLst/>
                          </a:prstGeom>
                        </pic:spPr>
                      </pic:pic>
                    </a:graphicData>
                  </a:graphic>
                </wp:anchor>
              </w:drawing>
            </w:r>
            <w:r>
              <w:rPr>
                <w:rFonts w:hint="eastAsia" w:ascii="Times New Roman" w:hAnsi="Times New Roman" w:eastAsia="宋体" w:cs="Times New Roman"/>
                <w:lang w:val="en-US" w:eastAsia="zh-CN"/>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61595</wp:posOffset>
                  </wp:positionV>
                  <wp:extent cx="1614805" cy="2219325"/>
                  <wp:effectExtent l="0" t="0" r="10795" b="3175"/>
                  <wp:wrapNone/>
                  <wp:docPr id="2" name="图片 2" descr="3221d4fd634adc95307cd96087c5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21d4fd634adc95307cd96087c560c"/>
                          <pic:cNvPicPr>
                            <a:picLocks noChangeAspect="1"/>
                          </pic:cNvPicPr>
                        </pic:nvPicPr>
                        <pic:blipFill>
                          <a:blip r:embed="rId7"/>
                          <a:stretch>
                            <a:fillRect/>
                          </a:stretch>
                        </pic:blipFill>
                        <pic:spPr>
                          <a:xfrm>
                            <a:off x="0" y="0"/>
                            <a:ext cx="1614805" cy="2219325"/>
                          </a:xfrm>
                          <a:prstGeom prst="rect">
                            <a:avLst/>
                          </a:prstGeom>
                        </pic:spPr>
                      </pic:pic>
                    </a:graphicData>
                  </a:graphic>
                </wp:anchor>
              </w:drawing>
            </w:r>
            <w:r>
              <w:rPr>
                <w:rFonts w:hint="eastAsia" w:ascii="Times New Roman" w:hAnsi="Times New Roman" w:eastAsia="宋体" w:cs="Times New Roman"/>
                <w:lang w:val="en-US" w:eastAsia="zh-CN"/>
              </w:rPr>
              <w:t>提供与刘星海签订的《物业租赁合同》，</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位于大庆市高新技术产业开发区产业三</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区新航路10号，租用面积200平方米，</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租期：2020.9.1-2025.8.31。</w:t>
            </w: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spacing w:beforeLines="30" w:afterLines="30" w:line="360" w:lineRule="auto"/>
              <w:rPr>
                <w:rFonts w:hint="eastAsia" w:ascii="宋体" w:hAnsi="宋体" w:eastAsia="宋体" w:cs="宋体"/>
                <w:sz w:val="24"/>
                <w:szCs w:val="24"/>
              </w:rPr>
            </w:pPr>
            <w:r>
              <w:rPr>
                <w:rFonts w:hint="eastAsia" w:ascii="Times New Roman" w:hAnsi="Times New Roman" w:eastAsia="宋体" w:cs="Times New Roman"/>
                <w:lang w:val="en-US" w:eastAsia="zh-CN"/>
              </w:rPr>
              <w:t>公司目前的基础设施，能够满足当前三体系的要求。公司将依据经营发展的需要，会不断补充与增加。</w:t>
            </w:r>
          </w:p>
        </w:tc>
        <w:tc>
          <w:tcPr>
            <w:tcW w:w="706" w:type="dxa"/>
          </w:tcPr>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信息交流、沟通、</w:t>
            </w:r>
          </w:p>
          <w:p>
            <w:pPr>
              <w:spacing w:line="360" w:lineRule="auto"/>
              <w:rPr>
                <w:rFonts w:hint="eastAsia" w:ascii="宋体" w:hAnsi="宋体" w:eastAsia="宋体" w:cs="宋体"/>
                <w:sz w:val="24"/>
                <w:szCs w:val="24"/>
              </w:rPr>
            </w:pPr>
            <w:r>
              <w:rPr>
                <w:rFonts w:hint="eastAsia" w:ascii="宋体" w:hAnsi="宋体" w:eastAsia="宋体" w:cs="宋体"/>
                <w:sz w:val="24"/>
                <w:szCs w:val="24"/>
              </w:rPr>
              <w:t>协商与参与、安全事务代表</w:t>
            </w: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QEO：7.4</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O5.4  </w:t>
            </w:r>
          </w:p>
          <w:p>
            <w:pPr>
              <w:spacing w:line="360" w:lineRule="auto"/>
              <w:rPr>
                <w:rFonts w:hint="eastAsia" w:ascii="宋体" w:hAnsi="宋体" w:eastAsia="宋体" w:cs="宋体"/>
                <w:sz w:val="24"/>
                <w:szCs w:val="24"/>
              </w:rPr>
            </w:pPr>
          </w:p>
        </w:tc>
        <w:tc>
          <w:tcPr>
            <w:tcW w:w="10883" w:type="dxa"/>
            <w:vAlign w:val="center"/>
          </w:tcPr>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组织在各部门之间建立了与体系有关的信息通渠沟道，借助于会议、电话、口头交流等方式使全体员工达到沟通和理解。目前各部门协调一致，工作基本理顺。</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总经理刘澜涛定期主持经营办公例会，分析公司的发展、市场情况和体系运行是否有效，管理目标完成情况，满足顾客要求和法规程度，改进建议等内部管理存在问题等。</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总经理刘澜涛为协商、参与提供了时间、机会、培训、资源等保障，明确了沟通、协商、参与渠道，消除了障碍和壁垒。</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代窦广录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现场查见会议记录、通知通报、培训记录、文件签收等组织内部培训方式相关记录。</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经交流：目前与环保、劳动、消防、安监部门的信息交流主要是参加会议、接收来文、电话、邮件等，均按要求予以传达和落实，沟通情况较好。</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相关人员能够适当参与并协商办理公司经营管理及安全事务等工作。</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经选举确定职业健康安全事务代表是高海军，其主要职责为a）负责职工代表大会的日常工作，检查、督促职工代表大会决议的执行；b）负责召开讨论有关工资、福利、劳动安全卫生、社会保险等涉及职工切身利益的会议，代表员工反映员工的建议和意见；c）接收、处理外部职业健康安全信息；d）收集、处理和反馈员工所关心的职业健康安全问题；</w:t>
            </w:r>
          </w:p>
          <w:p>
            <w:pPr>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由于公司福利待遇正常发放，员工无抱怨，目前信息交流机制畅通。</w:t>
            </w:r>
          </w:p>
          <w:p>
            <w:pPr>
              <w:spacing w:beforeLines="30" w:afterLines="30" w:line="360" w:lineRule="auto"/>
              <w:rPr>
                <w:rFonts w:hint="eastAsia" w:ascii="宋体" w:hAnsi="宋体" w:eastAsia="宋体" w:cs="宋体"/>
                <w:sz w:val="24"/>
                <w:szCs w:val="24"/>
              </w:rPr>
            </w:pPr>
            <w:r>
              <w:rPr>
                <w:rFonts w:hint="eastAsia" w:ascii="Times New Roman" w:hAnsi="Times New Roman" w:eastAsia="宋体" w:cs="Times New Roman"/>
                <w:lang w:val="en-US" w:eastAsia="zh-CN"/>
              </w:rPr>
              <w:t>现有的沟通渠道和方法能满足要求。审核中未发现因沟通不利不及时而造成（影响）某项工作不能正常运行的情况。</w:t>
            </w:r>
          </w:p>
        </w:tc>
        <w:tc>
          <w:tcPr>
            <w:tcW w:w="706" w:type="dxa"/>
          </w:tcPr>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管理评审</w:t>
            </w: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QEO：9.3  </w:t>
            </w:r>
          </w:p>
        </w:tc>
        <w:tc>
          <w:tcPr>
            <w:tcW w:w="10883" w:type="dxa"/>
            <w:vAlign w:val="center"/>
          </w:tcPr>
          <w:p>
            <w:pPr>
              <w:spacing w:beforeLines="30" w:afterLines="30" w:line="360" w:lineRule="auto"/>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查看《管理评审程序》，基本符合要求。2021.6.29日进行了管理评审。</w:t>
            </w:r>
          </w:p>
          <w:p>
            <w:pPr>
              <w:spacing w:beforeLines="30" w:afterLines="30" w:line="360" w:lineRule="auto"/>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查看“管理评审计划”，由刘澜涛签发；内容包括；评审目的、评审时间、参加部门人员、评审输入内容等。</w:t>
            </w:r>
          </w:p>
          <w:p>
            <w:pPr>
              <w:spacing w:beforeLines="30" w:afterLines="30" w:line="360" w:lineRule="auto"/>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hint="eastAsia" w:cs="Times New Roman"/>
                <w:color w:val="000000" w:themeColor="text1"/>
                <w:lang w:val="en-US" w:eastAsia="zh-CN"/>
              </w:rPr>
              <w:t>及去年管理评审的改进建议的落实情况</w:t>
            </w:r>
            <w:r>
              <w:rPr>
                <w:rFonts w:hint="eastAsia" w:ascii="Times New Roman" w:hAnsi="Times New Roman" w:eastAsia="宋体" w:cs="Times New Roman"/>
                <w:color w:val="000000" w:themeColor="text1"/>
                <w:lang w:val="en-US" w:eastAsia="zh-CN"/>
              </w:rPr>
              <w:t>等。管理评审的输入基本充分。查到各部门汇报材料，有参加人员签到表。</w:t>
            </w:r>
          </w:p>
          <w:p>
            <w:pPr>
              <w:spacing w:beforeLines="30" w:afterLines="30" w:line="360" w:lineRule="auto"/>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管理评审输出：</w:t>
            </w:r>
          </w:p>
          <w:p>
            <w:pPr>
              <w:spacing w:beforeLines="30" w:afterLines="30" w:line="360" w:lineRule="auto"/>
              <w:rPr>
                <w:rFonts w:hint="eastAsia" w:ascii="宋体" w:hAnsi="宋体" w:eastAsia="宋体" w:cs="宋体"/>
                <w:sz w:val="24"/>
                <w:szCs w:val="24"/>
              </w:rPr>
            </w:pPr>
            <w:r>
              <w:rPr>
                <w:rFonts w:hint="eastAsia" w:ascii="Times New Roman" w:hAnsi="Times New Roman" w:eastAsia="宋体" w:cs="Times New Roman"/>
                <w:color w:val="000000" w:themeColor="text1"/>
                <w:lang w:val="en-US" w:eastAsia="zh-CN"/>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自体系建立以来，公司的质量管理体系运行全面展开，通过新版的运行，收到良好的效果，经评审认为本公司的质量管理体系的建立和运行是充分的、适宜的、有效的。已具备了认证审核的条件。提出了</w:t>
            </w:r>
            <w:r>
              <w:rPr>
                <w:rFonts w:hint="eastAsia" w:cs="Times New Roman"/>
                <w:color w:val="000000" w:themeColor="text1"/>
                <w:lang w:val="en-US" w:eastAsia="zh-CN"/>
              </w:rPr>
              <w:t>1</w:t>
            </w:r>
            <w:r>
              <w:rPr>
                <w:rFonts w:hint="eastAsia" w:ascii="Times New Roman" w:hAnsi="Times New Roman" w:eastAsia="宋体" w:cs="Times New Roman"/>
                <w:color w:val="000000" w:themeColor="text1"/>
                <w:lang w:val="en-US" w:eastAsia="zh-CN"/>
              </w:rPr>
              <w:t>项改进措施:加强</w:t>
            </w:r>
            <w:r>
              <w:rPr>
                <w:rFonts w:hint="eastAsia" w:cs="Times New Roman"/>
                <w:color w:val="000000" w:themeColor="text1"/>
                <w:lang w:val="en-US" w:eastAsia="zh-CN"/>
              </w:rPr>
              <w:t>培训，方法措施：综合部组织各部门进行质量环境安全培训。</w:t>
            </w:r>
            <w:r>
              <w:rPr>
                <w:rFonts w:hint="eastAsia" w:ascii="Times New Roman" w:hAnsi="Times New Roman" w:eastAsia="宋体" w:cs="Times New Roman"/>
                <w:color w:val="000000" w:themeColor="text1"/>
                <w:lang w:val="en-US" w:eastAsia="zh-CN"/>
              </w:rPr>
              <w:t>管理评审的策划及实施符合要求。</w:t>
            </w:r>
          </w:p>
        </w:tc>
        <w:tc>
          <w:tcPr>
            <w:tcW w:w="706" w:type="dxa"/>
          </w:tcPr>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改进</w:t>
            </w:r>
          </w:p>
          <w:p>
            <w:pPr>
              <w:spacing w:line="360" w:lineRule="auto"/>
              <w:rPr>
                <w:rFonts w:hint="eastAsia" w:ascii="宋体" w:hAnsi="宋体" w:eastAsia="宋体" w:cs="宋体"/>
                <w:sz w:val="24"/>
                <w:szCs w:val="24"/>
              </w:rPr>
            </w:pPr>
          </w:p>
        </w:tc>
        <w:tc>
          <w:tcPr>
            <w:tcW w:w="115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QEO</w:t>
            </w:r>
          </w:p>
          <w:p>
            <w:pPr>
              <w:spacing w:line="360" w:lineRule="auto"/>
              <w:rPr>
                <w:rFonts w:hint="eastAsia" w:ascii="宋体" w:hAnsi="宋体" w:eastAsia="宋体" w:cs="宋体"/>
                <w:sz w:val="24"/>
                <w:szCs w:val="24"/>
              </w:rPr>
            </w:pPr>
            <w:r>
              <w:rPr>
                <w:rFonts w:hint="eastAsia" w:ascii="宋体" w:hAnsi="宋体" w:eastAsia="宋体" w:cs="宋体"/>
                <w:sz w:val="24"/>
                <w:szCs w:val="24"/>
              </w:rPr>
              <w:t>10.1、10.3</w:t>
            </w:r>
          </w:p>
          <w:p>
            <w:pPr>
              <w:spacing w:line="360" w:lineRule="auto"/>
              <w:rPr>
                <w:rFonts w:hint="eastAsia" w:ascii="宋体" w:hAnsi="宋体" w:eastAsia="宋体" w:cs="宋体"/>
                <w:sz w:val="24"/>
                <w:szCs w:val="24"/>
              </w:rPr>
            </w:pPr>
          </w:p>
        </w:tc>
        <w:tc>
          <w:tcPr>
            <w:tcW w:w="10883" w:type="dxa"/>
            <w:vAlign w:val="center"/>
          </w:tcPr>
          <w:p>
            <w:pPr>
              <w:snapToGrid w:val="0"/>
              <w:spacing w:beforeLines="30" w:afterLines="30" w:line="360" w:lineRule="auto"/>
              <w:ind w:firstLine="420" w:firstLineChars="200"/>
              <w:rPr>
                <w:rFonts w:hint="eastAsia" w:ascii="宋体" w:hAnsi="宋体" w:eastAsia="宋体" w:cs="宋体"/>
                <w:sz w:val="24"/>
                <w:szCs w:val="24"/>
              </w:rPr>
            </w:pPr>
            <w:r>
              <w:rPr>
                <w:rFonts w:hint="eastAsia" w:ascii="Times New Roman" w:hAnsi="Times New Roman" w:eastAsia="宋体" w:cs="Times New Roman"/>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706" w:type="dxa"/>
          </w:tcPr>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97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国家/地方抽查、顾客满意、相关方投诉处理</w:t>
            </w:r>
          </w:p>
        </w:tc>
        <w:tc>
          <w:tcPr>
            <w:tcW w:w="1150" w:type="dxa"/>
          </w:tcPr>
          <w:p>
            <w:pPr>
              <w:spacing w:line="360" w:lineRule="auto"/>
              <w:rPr>
                <w:rFonts w:hint="eastAsia" w:ascii="宋体" w:hAnsi="宋体" w:eastAsia="宋体" w:cs="宋体"/>
                <w:sz w:val="24"/>
                <w:szCs w:val="24"/>
              </w:rPr>
            </w:pPr>
          </w:p>
        </w:tc>
        <w:tc>
          <w:tcPr>
            <w:tcW w:w="10883" w:type="dxa"/>
          </w:tcPr>
          <w:p>
            <w:pPr>
              <w:snapToGrid w:val="0"/>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自公司成立以来，未受到上级主管部门有关质量、环境问题、职业健康安全的行政处罚。未发生相关方的投诉。</w:t>
            </w:r>
          </w:p>
          <w:p>
            <w:pPr>
              <w:snapToGrid w:val="0"/>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暂时没有国家/地方抽查情况。</w:t>
            </w:r>
          </w:p>
          <w:p>
            <w:pPr>
              <w:snapToGrid w:val="0"/>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目前没有相关行政主管部门的检查处罚，在审核现场也未发现抽查、相关方投诉等情况。</w:t>
            </w:r>
          </w:p>
        </w:tc>
        <w:tc>
          <w:tcPr>
            <w:tcW w:w="706" w:type="dxa"/>
          </w:tcPr>
          <w:p>
            <w:pPr>
              <w:spacing w:line="360" w:lineRule="auto"/>
              <w:ind w:firstLine="240" w:firstLineChars="100"/>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70"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验证资质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多场所</w:t>
            </w:r>
          </w:p>
        </w:tc>
        <w:tc>
          <w:tcPr>
            <w:tcW w:w="1150" w:type="dxa"/>
          </w:tcPr>
          <w:p>
            <w:pPr>
              <w:spacing w:line="360" w:lineRule="auto"/>
              <w:rPr>
                <w:rFonts w:hint="eastAsia" w:ascii="宋体" w:hAnsi="宋体" w:eastAsia="宋体" w:cs="宋体"/>
                <w:sz w:val="24"/>
                <w:szCs w:val="24"/>
              </w:rPr>
            </w:pPr>
          </w:p>
        </w:tc>
        <w:tc>
          <w:tcPr>
            <w:tcW w:w="10883" w:type="dxa"/>
          </w:tcPr>
          <w:p>
            <w:pPr>
              <w:snapToGrid w:val="0"/>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提供了组织营业执照均为有效，</w:t>
            </w:r>
          </w:p>
          <w:p>
            <w:pPr>
              <w:snapToGrid w:val="0"/>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提供多场所：</w:t>
            </w:r>
            <w:bookmarkStart w:id="0" w:name="生产地址"/>
            <w:r>
              <w:rPr>
                <w:rFonts w:hint="eastAsia" w:ascii="Times New Roman" w:hAnsi="Times New Roman" w:eastAsia="宋体" w:cs="Times New Roman"/>
                <w:lang w:val="en-US" w:eastAsia="zh-CN"/>
              </w:rPr>
              <w:t>黑龙江省大庆市龙凤区新航路10号</w:t>
            </w:r>
            <w:bookmarkEnd w:id="0"/>
            <w:r>
              <w:rPr>
                <w:rFonts w:hint="eastAsia" w:ascii="Times New Roman" w:hAnsi="Times New Roman" w:eastAsia="宋体" w:cs="Times New Roman"/>
                <w:lang w:val="en-US" w:eastAsia="zh-CN"/>
              </w:rPr>
              <w:t>。</w:t>
            </w:r>
            <w:bookmarkStart w:id="1" w:name="_GoBack"/>
            <w:bookmarkEnd w:id="1"/>
          </w:p>
        </w:tc>
        <w:tc>
          <w:tcPr>
            <w:tcW w:w="706" w:type="dxa"/>
          </w:tcPr>
          <w:p>
            <w:pPr>
              <w:spacing w:line="360" w:lineRule="auto"/>
              <w:rPr>
                <w:rFonts w:hint="eastAsia" w:ascii="宋体" w:hAnsi="宋体" w:cs="宋体"/>
                <w:sz w:val="24"/>
                <w:szCs w:val="24"/>
                <w:lang w:val="en-US" w:eastAsia="zh-CN"/>
              </w:rPr>
            </w:pPr>
          </w:p>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70" w:type="dxa"/>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初审</w:t>
            </w:r>
            <w:r>
              <w:rPr>
                <w:rFonts w:hint="eastAsia" w:ascii="宋体" w:hAnsi="宋体" w:eastAsia="宋体" w:cs="宋体"/>
                <w:sz w:val="24"/>
                <w:szCs w:val="24"/>
              </w:rPr>
              <w:t>问题验证</w:t>
            </w:r>
          </w:p>
        </w:tc>
        <w:tc>
          <w:tcPr>
            <w:tcW w:w="1150" w:type="dxa"/>
          </w:tcPr>
          <w:p>
            <w:pPr>
              <w:spacing w:line="360" w:lineRule="auto"/>
              <w:rPr>
                <w:rFonts w:hint="eastAsia" w:ascii="宋体" w:hAnsi="宋体" w:eastAsia="宋体" w:cs="宋体"/>
                <w:sz w:val="24"/>
                <w:szCs w:val="24"/>
              </w:rPr>
            </w:pPr>
          </w:p>
        </w:tc>
        <w:tc>
          <w:tcPr>
            <w:tcW w:w="10883" w:type="dxa"/>
          </w:tcPr>
          <w:p>
            <w:pPr>
              <w:snapToGrid w:val="0"/>
              <w:spacing w:beforeLines="30" w:afterLines="30"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经检查上次审核发现的不符合项（Q8.4.1、EO 8.1条款）已整改完成。</w:t>
            </w:r>
          </w:p>
        </w:tc>
        <w:tc>
          <w:tcPr>
            <w:tcW w:w="706" w:type="dxa"/>
          </w:tcPr>
          <w:p>
            <w:pPr>
              <w:spacing w:line="360" w:lineRule="auto"/>
              <w:ind w:firstLine="240" w:firstLineChars="100"/>
              <w:rPr>
                <w:rFonts w:hint="eastAsia" w:ascii="宋体" w:hAnsi="宋体" w:eastAsia="宋体" w:cs="宋体"/>
                <w:sz w:val="24"/>
                <w:szCs w:val="24"/>
              </w:rPr>
            </w:pPr>
            <w:r>
              <w:rPr>
                <w:rFonts w:hint="eastAsia" w:ascii="宋体" w:hAnsi="宋体" w:cs="宋体"/>
                <w:sz w:val="24"/>
                <w:szCs w:val="24"/>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0318CB"/>
    <w:rsid w:val="00160243"/>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D12E6"/>
    <w:rsid w:val="007F23D6"/>
    <w:rsid w:val="008A1D90"/>
    <w:rsid w:val="008B13D5"/>
    <w:rsid w:val="008B394B"/>
    <w:rsid w:val="008B4944"/>
    <w:rsid w:val="008D6E91"/>
    <w:rsid w:val="008E0CBF"/>
    <w:rsid w:val="009C6CE5"/>
    <w:rsid w:val="009C71AF"/>
    <w:rsid w:val="00A143B6"/>
    <w:rsid w:val="00A23916"/>
    <w:rsid w:val="00A31BAA"/>
    <w:rsid w:val="00AD0913"/>
    <w:rsid w:val="00B20739"/>
    <w:rsid w:val="00BC5B55"/>
    <w:rsid w:val="00CF62F2"/>
    <w:rsid w:val="00D050A8"/>
    <w:rsid w:val="00D10ACD"/>
    <w:rsid w:val="00D471E6"/>
    <w:rsid w:val="00D572DD"/>
    <w:rsid w:val="00D61BE1"/>
    <w:rsid w:val="00DB07D3"/>
    <w:rsid w:val="00DC08CB"/>
    <w:rsid w:val="00E15843"/>
    <w:rsid w:val="00E34B66"/>
    <w:rsid w:val="00E92D77"/>
    <w:rsid w:val="00EA40CD"/>
    <w:rsid w:val="00ED7AC6"/>
    <w:rsid w:val="00F7678E"/>
    <w:rsid w:val="09DE55FC"/>
    <w:rsid w:val="0AFB1C9F"/>
    <w:rsid w:val="0FE87AD3"/>
    <w:rsid w:val="1C133957"/>
    <w:rsid w:val="1F5A273D"/>
    <w:rsid w:val="22C82D7E"/>
    <w:rsid w:val="263E0955"/>
    <w:rsid w:val="344068F7"/>
    <w:rsid w:val="3A581E61"/>
    <w:rsid w:val="42443473"/>
    <w:rsid w:val="464E0678"/>
    <w:rsid w:val="4A0B0A7F"/>
    <w:rsid w:val="4B7A3399"/>
    <w:rsid w:val="4C026A78"/>
    <w:rsid w:val="4CAE79F3"/>
    <w:rsid w:val="4F351F13"/>
    <w:rsid w:val="5CB05CD3"/>
    <w:rsid w:val="609B30DF"/>
    <w:rsid w:val="6B9771C8"/>
    <w:rsid w:val="6D461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864</Words>
  <Characters>4930</Characters>
  <Lines>41</Lines>
  <Paragraphs>11</Paragraphs>
  <TotalTime>27</TotalTime>
  <ScaleCrop>false</ScaleCrop>
  <LinksUpToDate>false</LinksUpToDate>
  <CharactersWithSpaces>5783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2021-07-17T03:46:05Z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F0FF42C0D5694AFE95916368C2608B03</vt:lpwstr>
  </property>
</Properties>
</file>