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宋体" w:hAnsi="宋体" w:cs="宋体"/>
                <w:szCs w:val="21"/>
              </w:rPr>
            </w:pPr>
            <w:r>
              <w:rPr>
                <w:rFonts w:hint="eastAsia" w:ascii="宋体" w:hAnsi="宋体" w:cs="宋体"/>
                <w:szCs w:val="21"/>
              </w:rPr>
              <w:t>过程与活动、</w:t>
            </w:r>
          </w:p>
          <w:p>
            <w:pPr>
              <w:spacing w:line="360" w:lineRule="auto"/>
              <w:jc w:val="center"/>
              <w:rPr>
                <w:rFonts w:ascii="宋体" w:hAnsi="宋体" w:cs="宋体"/>
                <w:szCs w:val="21"/>
              </w:rPr>
            </w:pPr>
            <w:r>
              <w:rPr>
                <w:rFonts w:hint="eastAsia" w:ascii="宋体" w:hAnsi="宋体" w:cs="宋体"/>
                <w:szCs w:val="21"/>
              </w:rPr>
              <w:t>抽样计划</w:t>
            </w:r>
          </w:p>
        </w:tc>
        <w:tc>
          <w:tcPr>
            <w:tcW w:w="1311" w:type="dxa"/>
            <w:vMerge w:val="restart"/>
            <w:vAlign w:val="center"/>
          </w:tcPr>
          <w:p>
            <w:pPr>
              <w:spacing w:line="360" w:lineRule="auto"/>
              <w:rPr>
                <w:rFonts w:ascii="宋体" w:hAnsi="宋体" w:cs="宋体"/>
                <w:color w:val="000000" w:themeColor="text1"/>
                <w:szCs w:val="21"/>
              </w:rPr>
            </w:pPr>
            <w:r>
              <w:rPr>
                <w:rFonts w:hint="eastAsia" w:ascii="宋体" w:hAnsi="宋体" w:cs="宋体"/>
                <w:szCs w:val="21"/>
              </w:rPr>
              <w:t>涉及条款</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受审核部门：供销部  </w:t>
            </w:r>
            <w:r>
              <w:rPr>
                <w:rFonts w:hint="eastAsia" w:ascii="宋体" w:hAnsi="宋体" w:cs="Arial"/>
                <w:b/>
                <w:szCs w:val="21"/>
              </w:rPr>
              <w:t xml:space="preserve">      </w:t>
            </w:r>
            <w:r>
              <w:rPr>
                <w:rFonts w:hint="eastAsia" w:ascii="宋体" w:hAnsi="宋体" w:cs="宋体"/>
                <w:szCs w:val="21"/>
              </w:rPr>
              <w:t xml:space="preserve"> 主管领导：</w:t>
            </w:r>
            <w:r>
              <w:rPr>
                <w:rFonts w:hint="eastAsia" w:ascii="宋体" w:hAnsi="宋体" w:cs="宋体"/>
                <w:szCs w:val="21"/>
                <w:lang w:val="en-US" w:eastAsia="zh-CN"/>
              </w:rPr>
              <w:t>王明清</w:t>
            </w:r>
            <w:r>
              <w:rPr>
                <w:rFonts w:hint="eastAsia" w:ascii="宋体" w:hAnsi="宋体" w:cs="宋体"/>
                <w:szCs w:val="21"/>
              </w:rPr>
              <w:t xml:space="preserve">      陪同人员：高海军</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line="240" w:lineRule="exact"/>
              <w:rPr>
                <w:rFonts w:hint="default" w:ascii="宋体" w:hAnsi="宋体" w:cs="宋体"/>
                <w:szCs w:val="21"/>
              </w:rPr>
            </w:pPr>
            <w:r>
              <w:rPr>
                <w:rFonts w:hint="eastAsia" w:ascii="宋体" w:hAnsi="宋体" w:cs="宋体"/>
                <w:szCs w:val="21"/>
              </w:rPr>
              <w:t>审核员：</w:t>
            </w:r>
            <w:r>
              <w:rPr>
                <w:rFonts w:hint="eastAsia" w:ascii="宋体" w:hAnsi="宋体" w:cs="宋体"/>
                <w:szCs w:val="21"/>
                <w:lang w:val="en-US" w:eastAsia="zh-CN"/>
              </w:rPr>
              <w:t>李俐</w:t>
            </w:r>
            <w:r>
              <w:rPr>
                <w:rFonts w:hint="eastAsia" w:ascii="宋体" w:hAnsi="宋体" w:cs="宋体"/>
                <w:szCs w:val="21"/>
              </w:rPr>
              <w:t xml:space="preserve">            审核时间：</w:t>
            </w:r>
            <w:r>
              <w:rPr>
                <w:rFonts w:hint="eastAsia" w:ascii="宋体" w:hAnsi="宋体" w:cs="Arial"/>
                <w:szCs w:val="21"/>
              </w:rPr>
              <w:t>202</w:t>
            </w:r>
            <w:r>
              <w:rPr>
                <w:rFonts w:hint="default" w:ascii="宋体" w:hAnsi="宋体" w:cs="Arial"/>
                <w:szCs w:val="21"/>
              </w:rPr>
              <w:t>1</w:t>
            </w:r>
            <w:r>
              <w:rPr>
                <w:rFonts w:hint="eastAsia" w:ascii="宋体" w:hAnsi="宋体" w:cs="Arial"/>
                <w:szCs w:val="21"/>
              </w:rPr>
              <w:t>.</w:t>
            </w:r>
            <w:r>
              <w:rPr>
                <w:rFonts w:hint="default" w:ascii="宋体" w:hAnsi="宋体" w:cs="Arial"/>
                <w:szCs w:val="21"/>
              </w:rPr>
              <w:t>7</w:t>
            </w:r>
            <w:r>
              <w:rPr>
                <w:rFonts w:hint="eastAsia" w:ascii="宋体" w:hAnsi="宋体" w:cs="Arial"/>
                <w:szCs w:val="21"/>
              </w:rPr>
              <w:t>.</w:t>
            </w:r>
            <w:r>
              <w:rPr>
                <w:rFonts w:hint="default" w:ascii="宋体" w:hAnsi="宋体" w:cs="Arial"/>
                <w:szCs w:val="21"/>
              </w:rPr>
              <w:t>2</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line="360" w:lineRule="auto"/>
              <w:rPr>
                <w:rFonts w:ascii="宋体" w:hAnsi="宋体" w:cs="宋体"/>
                <w:szCs w:val="21"/>
              </w:rPr>
            </w:pPr>
            <w:r>
              <w:rPr>
                <w:rFonts w:hint="eastAsia" w:ascii="宋体" w:hAnsi="宋体" w:cs="宋体"/>
                <w:szCs w:val="21"/>
              </w:rPr>
              <w:t>审核条款：</w:t>
            </w:r>
          </w:p>
          <w:p>
            <w:pPr>
              <w:spacing w:line="360" w:lineRule="auto"/>
              <w:rPr>
                <w:rFonts w:ascii="宋体" w:hAnsi="宋体" w:cs="宋体"/>
                <w:szCs w:val="21"/>
              </w:rPr>
            </w:pPr>
            <w:r>
              <w:rPr>
                <w:rFonts w:hint="eastAsia" w:ascii="宋体" w:hAnsi="宋体" w:cs="宋体"/>
                <w:szCs w:val="21"/>
              </w:rPr>
              <w:t>QMS:5.3组织的岗位、职责和权限、6.2质量目标、8.4外部提供过程、产品和服务的控制、8.2产品和服务的要求、8.5.1销售和服务提供的控制、8.5.3顾客或外部供方的财产、9.1.2顾客满意、8.5.5交付后的活动，</w:t>
            </w:r>
          </w:p>
          <w:p>
            <w:pPr>
              <w:spacing w:line="360" w:lineRule="auto"/>
              <w:rPr>
                <w:rFonts w:ascii="宋体" w:hAnsi="宋体" w:cs="宋体"/>
                <w:szCs w:val="21"/>
              </w:rPr>
            </w:pPr>
            <w:r>
              <w:rPr>
                <w:rFonts w:hint="eastAsia" w:ascii="宋体" w:hAnsi="宋体" w:cs="宋体"/>
                <w:szCs w:val="21"/>
              </w:rPr>
              <w:t>E/OMS: 5.3组织的岗位、职责和权限、6.2环境与职业健康安全目标、6.1.2环境因素/危险源辨识与评价、8.1运行策划和控制、8.2应急准备和响应。</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rPr>
                <w:rFonts w:ascii="宋体" w:hAnsi="宋体" w:cs="宋体"/>
                <w:b/>
                <w:szCs w:val="21"/>
              </w:rPr>
            </w:pPr>
            <w:r>
              <w:rPr>
                <w:rFonts w:hint="eastAsia" w:ascii="宋体" w:hAnsi="宋体" w:cs="宋体"/>
                <w:szCs w:val="21"/>
              </w:rPr>
              <w:t>组织的岗位、职责和权限</w:t>
            </w:r>
          </w:p>
        </w:tc>
        <w:tc>
          <w:tcPr>
            <w:tcW w:w="1311" w:type="dxa"/>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QEO 5.3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审核过程了解到供销部主要负责：负责市场开拓，销售网络建立，销售队伍的建设，项目信息收集、分析、跟踪、谈判，签订合同；负责业务的报价及说明,报价书、投标书的制作，参加投标活动；负责销售合同的制作，组织标书、合同评审。负责将合同更改信息传递到相关部门；负责与顾客联络沟通，组织处理顾客投诉。负责保存相关服务记录；负责组织对顾客满意程度进行测量，确定顾客的需求和潜在需求；负责与顾客相关的数据收集、传递、交流。负责识别本部门的环境因素和危险源的辨识评价和控制工作。</w:t>
            </w:r>
          </w:p>
          <w:p>
            <w:pPr>
              <w:spacing w:line="360" w:lineRule="auto"/>
              <w:ind w:firstLine="420" w:firstLineChars="200"/>
              <w:rPr>
                <w:rFonts w:ascii="宋体" w:hAnsi="宋体" w:cs="宋体"/>
                <w:szCs w:val="21"/>
              </w:rPr>
            </w:pPr>
            <w:r>
              <w:rPr>
                <w:rFonts w:hint="eastAsia" w:ascii="宋体" w:hAnsi="宋体" w:cs="宋体"/>
                <w:szCs w:val="21"/>
              </w:rPr>
              <w:t>部门人员能够清楚自己部门的职责，沟通顺畅。</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trPr>
        <w:tc>
          <w:tcPr>
            <w:tcW w:w="1809" w:type="dxa"/>
            <w:vAlign w:val="center"/>
          </w:tcPr>
          <w:p>
            <w:pPr>
              <w:spacing w:line="360" w:lineRule="auto"/>
              <w:rPr>
                <w:rFonts w:ascii="宋体" w:hAnsi="宋体" w:cs="宋体"/>
                <w:szCs w:val="21"/>
              </w:rPr>
            </w:pPr>
            <w:r>
              <w:rPr>
                <w:rFonts w:hint="eastAsia" w:ascii="宋体" w:hAnsi="宋体" w:cs="宋体"/>
                <w:szCs w:val="21"/>
              </w:rPr>
              <w:t xml:space="preserve">目标 </w:t>
            </w:r>
          </w:p>
        </w:tc>
        <w:tc>
          <w:tcPr>
            <w:tcW w:w="1311" w:type="dxa"/>
            <w:vAlign w:val="center"/>
          </w:tcPr>
          <w:p>
            <w:pPr>
              <w:spacing w:line="360" w:lineRule="auto"/>
              <w:rPr>
                <w:rFonts w:ascii="宋体" w:hAnsi="宋体" w:cs="宋体"/>
                <w:szCs w:val="21"/>
              </w:rPr>
            </w:pPr>
            <w:r>
              <w:rPr>
                <w:rFonts w:hint="eastAsia" w:ascii="宋体" w:hAnsi="宋体" w:cs="宋体"/>
                <w:szCs w:val="21"/>
              </w:rPr>
              <w:t>QEO:6.2</w:t>
            </w:r>
          </w:p>
        </w:tc>
        <w:tc>
          <w:tcPr>
            <w:tcW w:w="10004" w:type="dxa"/>
            <w:vAlign w:val="center"/>
          </w:tcPr>
          <w:p>
            <w:pPr>
              <w:spacing w:line="360" w:lineRule="auto"/>
              <w:rPr>
                <w:rFonts w:hint="eastAsia" w:ascii="宋体" w:hAnsi="宋体" w:cs="宋体"/>
                <w:szCs w:val="21"/>
              </w:rPr>
            </w:pPr>
            <w:r>
              <w:rPr>
                <w:rFonts w:hint="eastAsia" w:ascii="宋体" w:hAnsi="宋体" w:cs="宋体"/>
                <w:szCs w:val="21"/>
              </w:rPr>
              <w:t>部门目标及考核情况：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443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tcPr>
                <w:p>
                  <w:pPr>
                    <w:tabs>
                      <w:tab w:val="center" w:pos="3169"/>
                    </w:tabs>
                    <w:spacing w:line="400" w:lineRule="exact"/>
                    <w:ind w:firstLine="210" w:firstLineChars="100"/>
                    <w:jc w:val="left"/>
                    <w:rPr>
                      <w:rFonts w:hint="default" w:ascii="宋体" w:hAnsi="宋体" w:eastAsia="宋体" w:cs="宋体"/>
                      <w:sz w:val="21"/>
                      <w:szCs w:val="21"/>
                      <w:vertAlign w:val="baseline"/>
                      <w:lang w:val="en-US" w:eastAsia="zh-CN" w:bidi="ar"/>
                    </w:rPr>
                  </w:pPr>
                  <w:r>
                    <w:rPr>
                      <w:rFonts w:hint="eastAsia" w:ascii="宋体" w:hAnsi="宋体" w:cs="宋体"/>
                      <w:sz w:val="21"/>
                      <w:szCs w:val="21"/>
                      <w:vertAlign w:val="baseline"/>
                      <w:lang w:val="en-US" w:eastAsia="zh-CN" w:bidi="ar"/>
                    </w:rPr>
                    <w:t>序号</w:t>
                  </w:r>
                </w:p>
              </w:tc>
              <w:tc>
                <w:tcPr>
                  <w:tcW w:w="4430" w:type="dxa"/>
                </w:tcPr>
                <w:p>
                  <w:pPr>
                    <w:tabs>
                      <w:tab w:val="center" w:pos="3169"/>
                    </w:tabs>
                    <w:spacing w:line="400" w:lineRule="exact"/>
                    <w:jc w:val="left"/>
                    <w:rPr>
                      <w:rFonts w:hint="default" w:ascii="宋体" w:hAnsi="宋体" w:eastAsia="宋体" w:cs="宋体"/>
                      <w:sz w:val="21"/>
                      <w:szCs w:val="21"/>
                      <w:vertAlign w:val="baseline"/>
                      <w:lang w:val="en-US" w:eastAsia="zh-CN" w:bidi="ar"/>
                    </w:rPr>
                  </w:pPr>
                  <w:r>
                    <w:rPr>
                      <w:rFonts w:hint="eastAsia" w:ascii="宋体" w:hAnsi="宋体" w:cs="宋体"/>
                      <w:sz w:val="21"/>
                      <w:szCs w:val="21"/>
                      <w:vertAlign w:val="baseline"/>
                      <w:lang w:val="en-US" w:eastAsia="zh-CN" w:bidi="ar"/>
                    </w:rPr>
                    <w:t>目标</w:t>
                  </w:r>
                </w:p>
              </w:tc>
              <w:tc>
                <w:tcPr>
                  <w:tcW w:w="1420" w:type="dxa"/>
                  <w:vAlign w:val="center"/>
                </w:tcPr>
                <w:p>
                  <w:pPr>
                    <w:tabs>
                      <w:tab w:val="center" w:pos="3169"/>
                    </w:tabs>
                    <w:spacing w:line="400" w:lineRule="exact"/>
                    <w:jc w:val="center"/>
                    <w:rPr>
                      <w:rFonts w:hint="default" w:ascii="宋体" w:hAnsi="宋体" w:eastAsia="宋体" w:cs="宋体"/>
                      <w:sz w:val="21"/>
                      <w:szCs w:val="21"/>
                      <w:vertAlign w:val="baseline"/>
                      <w:lang w:val="en-US" w:eastAsia="zh-CN" w:bidi="ar"/>
                    </w:rPr>
                  </w:pPr>
                  <w:r>
                    <w:rPr>
                      <w:rFonts w:hint="eastAsia" w:ascii="宋体" w:hAnsi="宋体" w:cs="宋体"/>
                      <w:sz w:val="21"/>
                      <w:szCs w:val="21"/>
                      <w:vertAlign w:val="baseline"/>
                      <w:lang w:val="en-US" w:eastAsia="zh-CN" w:bidi="ar"/>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tabs>
                      <w:tab w:val="center" w:pos="3169"/>
                    </w:tabs>
                    <w:spacing w:line="400" w:lineRule="exact"/>
                    <w:jc w:val="center"/>
                    <w:rPr>
                      <w:rFonts w:hint="default" w:ascii="宋体" w:hAnsi="宋体" w:eastAsia="宋体" w:cs="宋体"/>
                      <w:sz w:val="21"/>
                      <w:szCs w:val="21"/>
                      <w:vertAlign w:val="baseline"/>
                      <w:lang w:val="en-US" w:eastAsia="zh-CN" w:bidi="ar"/>
                    </w:rPr>
                  </w:pPr>
                  <w:r>
                    <w:rPr>
                      <w:rFonts w:hint="eastAsia" w:ascii="宋体" w:hAnsi="宋体" w:cs="宋体"/>
                      <w:sz w:val="21"/>
                      <w:szCs w:val="21"/>
                      <w:vertAlign w:val="baseline"/>
                      <w:lang w:val="en-US" w:eastAsia="zh-CN" w:bidi="ar"/>
                    </w:rPr>
                    <w:t>1</w:t>
                  </w:r>
                </w:p>
              </w:tc>
              <w:tc>
                <w:tcPr>
                  <w:tcW w:w="4430" w:type="dxa"/>
                </w:tcPr>
                <w:p>
                  <w:pPr>
                    <w:tabs>
                      <w:tab w:val="center" w:pos="3169"/>
                    </w:tabs>
                    <w:spacing w:line="400" w:lineRule="exact"/>
                    <w:jc w:val="left"/>
                    <w:rPr>
                      <w:rFonts w:hint="default" w:ascii="宋体" w:hAnsi="宋体" w:eastAsia="宋体" w:cs="宋体"/>
                      <w:sz w:val="21"/>
                      <w:szCs w:val="21"/>
                      <w:vertAlign w:val="baseline"/>
                      <w:lang w:val="en-US" w:eastAsia="zh-CN" w:bidi="ar"/>
                    </w:rPr>
                  </w:pPr>
                  <w:r>
                    <w:rPr>
                      <w:rFonts w:hint="eastAsia" w:ascii="宋体" w:hAnsi="宋体" w:cs="宋体"/>
                      <w:sz w:val="21"/>
                      <w:szCs w:val="21"/>
                      <w:lang w:bidi="ar"/>
                    </w:rPr>
                    <w:t>顾客满意率：</w:t>
                  </w:r>
                  <w:r>
                    <w:rPr>
                      <w:rFonts w:ascii="宋体" w:hAnsi="宋体" w:cs="宋体"/>
                      <w:sz w:val="21"/>
                      <w:szCs w:val="21"/>
                      <w:lang w:bidi="ar"/>
                    </w:rPr>
                    <w:t>≥</w:t>
                  </w:r>
                  <w:r>
                    <w:rPr>
                      <w:rFonts w:hint="eastAsia" w:ascii="宋体" w:hAnsi="宋体" w:cs="宋体"/>
                      <w:sz w:val="21"/>
                      <w:szCs w:val="21"/>
                      <w:lang w:bidi="ar"/>
                    </w:rPr>
                    <w:t>90%</w:t>
                  </w:r>
                </w:p>
              </w:tc>
              <w:tc>
                <w:tcPr>
                  <w:tcW w:w="1420" w:type="dxa"/>
                  <w:vAlign w:val="center"/>
                </w:tcPr>
                <w:p>
                  <w:pPr>
                    <w:tabs>
                      <w:tab w:val="center" w:pos="3169"/>
                    </w:tabs>
                    <w:spacing w:line="400" w:lineRule="exact"/>
                    <w:jc w:val="center"/>
                    <w:rPr>
                      <w:rFonts w:hint="default" w:ascii="宋体" w:hAnsi="宋体" w:eastAsia="宋体" w:cs="宋体"/>
                      <w:sz w:val="21"/>
                      <w:szCs w:val="21"/>
                      <w:vertAlign w:val="baseline"/>
                      <w:lang w:val="en-US" w:eastAsia="zh-CN" w:bidi="ar"/>
                    </w:rPr>
                  </w:pPr>
                  <w:r>
                    <w:rPr>
                      <w:rFonts w:hint="eastAsia" w:ascii="宋体" w:hAnsi="宋体" w:cs="宋体"/>
                      <w:sz w:val="21"/>
                      <w:szCs w:val="21"/>
                      <w:lang w:val="en-US" w:eastAsia="zh-CN" w:bidi="ar"/>
                    </w:rPr>
                    <w:t>98</w:t>
                  </w:r>
                  <w:r>
                    <w:rPr>
                      <w:rFonts w:hint="eastAsia" w:ascii="宋体" w:hAnsi="宋体" w:cs="宋体"/>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tabs>
                      <w:tab w:val="center" w:pos="3169"/>
                    </w:tabs>
                    <w:spacing w:line="400" w:lineRule="exact"/>
                    <w:jc w:val="center"/>
                    <w:rPr>
                      <w:rFonts w:hint="default" w:ascii="宋体" w:hAnsi="宋体" w:eastAsia="宋体" w:cs="宋体"/>
                      <w:sz w:val="21"/>
                      <w:szCs w:val="21"/>
                      <w:vertAlign w:val="baseline"/>
                      <w:lang w:val="en-US" w:eastAsia="zh-CN" w:bidi="ar"/>
                    </w:rPr>
                  </w:pPr>
                  <w:r>
                    <w:rPr>
                      <w:rFonts w:hint="eastAsia" w:ascii="宋体" w:hAnsi="宋体" w:cs="宋体"/>
                      <w:sz w:val="21"/>
                      <w:szCs w:val="21"/>
                      <w:vertAlign w:val="baseline"/>
                      <w:lang w:val="en-US" w:eastAsia="zh-CN" w:bidi="ar"/>
                    </w:rPr>
                    <w:t>2</w:t>
                  </w:r>
                </w:p>
              </w:tc>
              <w:tc>
                <w:tcPr>
                  <w:tcW w:w="4430" w:type="dxa"/>
                </w:tcPr>
                <w:p>
                  <w:pPr>
                    <w:tabs>
                      <w:tab w:val="center" w:pos="3169"/>
                    </w:tabs>
                    <w:spacing w:line="400" w:lineRule="exact"/>
                    <w:jc w:val="left"/>
                    <w:rPr>
                      <w:rFonts w:hint="default" w:ascii="宋体" w:hAnsi="宋体" w:eastAsia="宋体" w:cs="宋体"/>
                      <w:sz w:val="21"/>
                      <w:szCs w:val="21"/>
                      <w:vertAlign w:val="baseline"/>
                      <w:lang w:val="en-US" w:eastAsia="zh-CN" w:bidi="ar"/>
                    </w:rPr>
                  </w:pPr>
                  <w:r>
                    <w:rPr>
                      <w:rFonts w:hint="eastAsia" w:ascii="宋体" w:hAnsi="宋体" w:cs="宋体"/>
                      <w:sz w:val="21"/>
                      <w:szCs w:val="21"/>
                      <w:lang w:bidi="ar"/>
                    </w:rPr>
                    <w:t>合同履约率：</w:t>
                  </w:r>
                  <w:r>
                    <w:rPr>
                      <w:rFonts w:ascii="宋体" w:hAnsi="宋体" w:cs="宋体"/>
                      <w:sz w:val="21"/>
                      <w:szCs w:val="21"/>
                      <w:lang w:bidi="ar"/>
                    </w:rPr>
                    <w:t>≥</w:t>
                  </w:r>
                  <w:r>
                    <w:rPr>
                      <w:rFonts w:hint="eastAsia" w:ascii="宋体" w:hAnsi="宋体" w:cs="宋体"/>
                      <w:sz w:val="21"/>
                      <w:szCs w:val="21"/>
                      <w:lang w:bidi="ar"/>
                    </w:rPr>
                    <w:t>98%</w:t>
                  </w:r>
                </w:p>
              </w:tc>
              <w:tc>
                <w:tcPr>
                  <w:tcW w:w="1420" w:type="dxa"/>
                  <w:vAlign w:val="center"/>
                </w:tcPr>
                <w:p>
                  <w:pPr>
                    <w:tabs>
                      <w:tab w:val="center" w:pos="3169"/>
                    </w:tabs>
                    <w:spacing w:line="400" w:lineRule="exact"/>
                    <w:jc w:val="center"/>
                    <w:rPr>
                      <w:rFonts w:hint="default" w:ascii="宋体" w:hAnsi="宋体" w:eastAsia="宋体" w:cs="宋体"/>
                      <w:sz w:val="21"/>
                      <w:szCs w:val="21"/>
                      <w:vertAlign w:val="baseline"/>
                      <w:lang w:val="en-US" w:eastAsia="zh-CN" w:bidi="ar"/>
                    </w:rPr>
                  </w:pPr>
                  <w:r>
                    <w:rPr>
                      <w:rFonts w:hint="eastAsia" w:ascii="宋体" w:hAnsi="宋体" w:cs="宋体"/>
                      <w:sz w:val="21"/>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14" w:type="dxa"/>
                  <w:vAlign w:val="center"/>
                </w:tcPr>
                <w:p>
                  <w:pPr>
                    <w:tabs>
                      <w:tab w:val="center" w:pos="3169"/>
                    </w:tabs>
                    <w:spacing w:line="400" w:lineRule="exact"/>
                    <w:jc w:val="center"/>
                    <w:rPr>
                      <w:rFonts w:hint="default" w:ascii="宋体" w:hAnsi="宋体" w:eastAsia="宋体" w:cs="宋体"/>
                      <w:sz w:val="21"/>
                      <w:szCs w:val="21"/>
                      <w:vertAlign w:val="baseline"/>
                      <w:lang w:val="en-US" w:eastAsia="zh-CN" w:bidi="ar"/>
                    </w:rPr>
                  </w:pPr>
                  <w:r>
                    <w:rPr>
                      <w:rFonts w:hint="eastAsia" w:ascii="宋体" w:hAnsi="宋体" w:cs="宋体"/>
                      <w:sz w:val="21"/>
                      <w:szCs w:val="21"/>
                      <w:vertAlign w:val="baseline"/>
                      <w:lang w:val="en-US" w:eastAsia="zh-CN" w:bidi="ar"/>
                    </w:rPr>
                    <w:t>3</w:t>
                  </w:r>
                </w:p>
              </w:tc>
              <w:tc>
                <w:tcPr>
                  <w:tcW w:w="4430" w:type="dxa"/>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固体废弃物回收处理率100%；</w:t>
                  </w:r>
                </w:p>
              </w:tc>
              <w:tc>
                <w:tcPr>
                  <w:tcW w:w="1420" w:type="dxa"/>
                  <w:vAlign w:val="center"/>
                </w:tcPr>
                <w:p>
                  <w:pPr>
                    <w:tabs>
                      <w:tab w:val="center" w:pos="3169"/>
                    </w:tabs>
                    <w:spacing w:line="400" w:lineRule="exact"/>
                    <w:jc w:val="center"/>
                    <w:rPr>
                      <w:rFonts w:hint="default" w:ascii="宋体" w:hAnsi="宋体" w:eastAsia="宋体" w:cs="宋体"/>
                      <w:sz w:val="21"/>
                      <w:szCs w:val="21"/>
                      <w:vertAlign w:val="baseline"/>
                      <w:lang w:val="en-US" w:eastAsia="zh-CN" w:bidi="ar"/>
                    </w:rPr>
                  </w:pPr>
                  <w:r>
                    <w:rPr>
                      <w:rFonts w:hint="eastAsia" w:ascii="宋体" w:hAnsi="宋体" w:cs="宋体"/>
                      <w:sz w:val="21"/>
                      <w:szCs w:val="21"/>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tabs>
                      <w:tab w:val="center" w:pos="3169"/>
                    </w:tabs>
                    <w:spacing w:line="400" w:lineRule="exact"/>
                    <w:jc w:val="center"/>
                    <w:rPr>
                      <w:rFonts w:hint="default" w:ascii="宋体" w:hAnsi="宋体" w:eastAsia="宋体" w:cs="宋体"/>
                      <w:sz w:val="21"/>
                      <w:szCs w:val="21"/>
                      <w:vertAlign w:val="baseline"/>
                      <w:lang w:val="en-US" w:eastAsia="zh-CN" w:bidi="ar"/>
                    </w:rPr>
                  </w:pPr>
                  <w:r>
                    <w:rPr>
                      <w:rFonts w:hint="eastAsia" w:ascii="宋体" w:hAnsi="宋体" w:cs="宋体"/>
                      <w:sz w:val="21"/>
                      <w:szCs w:val="21"/>
                      <w:vertAlign w:val="baseline"/>
                      <w:lang w:val="en-US" w:eastAsia="zh-CN" w:bidi="ar"/>
                    </w:rPr>
                    <w:t>4</w:t>
                  </w:r>
                </w:p>
              </w:tc>
              <w:tc>
                <w:tcPr>
                  <w:tcW w:w="4430" w:type="dxa"/>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val="en-US" w:eastAsia="zh-CN" w:bidi="ar"/>
                    </w:rPr>
                    <w:t xml:space="preserve">火灾发生       0  </w:t>
                  </w:r>
                </w:p>
              </w:tc>
              <w:tc>
                <w:tcPr>
                  <w:tcW w:w="1420" w:type="dxa"/>
                  <w:vAlign w:val="center"/>
                </w:tcPr>
                <w:p>
                  <w:pPr>
                    <w:tabs>
                      <w:tab w:val="center" w:pos="3169"/>
                    </w:tabs>
                    <w:spacing w:line="400" w:lineRule="exact"/>
                    <w:jc w:val="center"/>
                    <w:rPr>
                      <w:rFonts w:hint="default" w:ascii="宋体" w:hAnsi="宋体" w:eastAsia="宋体" w:cs="宋体"/>
                      <w:sz w:val="21"/>
                      <w:szCs w:val="21"/>
                      <w:vertAlign w:val="baseline"/>
                      <w:lang w:val="en-US" w:eastAsia="zh-CN" w:bidi="ar"/>
                    </w:rPr>
                  </w:pPr>
                  <w:r>
                    <w:rPr>
                      <w:rFonts w:hint="eastAsia" w:ascii="宋体" w:hAnsi="宋体" w:cs="宋体"/>
                      <w:sz w:val="21"/>
                      <w:szCs w:val="21"/>
                      <w:vertAlign w:val="baseline"/>
                      <w:lang w:val="en-US" w:eastAsia="zh-CN" w:bidi="ar"/>
                    </w:rPr>
                    <w:t>0</w:t>
                  </w:r>
                </w:p>
              </w:tc>
            </w:tr>
          </w:tbl>
          <w:p>
            <w:pPr>
              <w:spacing w:line="360" w:lineRule="auto"/>
              <w:rPr>
                <w:rFonts w:ascii="宋体" w:hAnsi="宋体" w:cs="宋体"/>
                <w:szCs w:val="21"/>
              </w:rPr>
            </w:pPr>
            <w:r>
              <w:rPr>
                <w:rFonts w:hint="eastAsia" w:ascii="宋体" w:hAnsi="宋体" w:cs="宋体"/>
                <w:szCs w:val="21"/>
              </w:rPr>
              <w:t>考核情况：202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7月5日</w:t>
            </w:r>
            <w:r>
              <w:rPr>
                <w:rFonts w:hint="eastAsia" w:ascii="宋体" w:hAnsi="宋体" w:cs="宋体"/>
                <w:szCs w:val="21"/>
              </w:rPr>
              <w:t>经考核已完成。</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09" w:type="dxa"/>
            <w:vAlign w:val="center"/>
          </w:tcPr>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顾客沟通</w:t>
            </w:r>
          </w:p>
        </w:tc>
        <w:tc>
          <w:tcPr>
            <w:tcW w:w="1311" w:type="dxa"/>
            <w:vAlign w:val="center"/>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Q8.2.1</w:t>
            </w:r>
          </w:p>
          <w:p>
            <w:pPr>
              <w:spacing w:line="360" w:lineRule="auto"/>
              <w:rPr>
                <w:rFonts w:ascii="宋体" w:hAnsi="宋体" w:cs="宋体"/>
                <w:szCs w:val="21"/>
              </w:rPr>
            </w:pPr>
            <w:r>
              <w:rPr>
                <w:rFonts w:hint="eastAsia" w:ascii="宋体" w:hAnsi="宋体" w:cs="宋体"/>
                <w:szCs w:val="21"/>
              </w:rPr>
              <w:t xml:space="preserve"> </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lang w:val="en-US" w:eastAsia="zh-CN"/>
              </w:rPr>
              <w:t>查</w:t>
            </w:r>
            <w:r>
              <w:rPr>
                <w:rFonts w:hint="eastAsia" w:ascii="宋体" w:hAnsi="宋体" w:cs="宋体"/>
                <w:szCs w:val="21"/>
              </w:rPr>
              <w:t>《与顾客有关的要求控制程序》，与顾客沟通主要采取以下方式：产品信息：主要是电话、传真、Q互联网、公司宣传册及网站的方式；问询、合同或订单的处理：</w:t>
            </w:r>
          </w:p>
          <w:p>
            <w:pPr>
              <w:spacing w:line="360" w:lineRule="auto"/>
              <w:ind w:firstLine="420" w:firstLineChars="200"/>
              <w:rPr>
                <w:rFonts w:ascii="宋体" w:hAnsi="宋体" w:cs="宋体"/>
                <w:szCs w:val="21"/>
              </w:rPr>
            </w:pPr>
            <w:r>
              <w:rPr>
                <w:rFonts w:hint="eastAsia" w:ascii="宋体" w:hAnsi="宋体" w:cs="宋体"/>
                <w:szCs w:val="21"/>
              </w:rPr>
              <w:t>主要采取电话或面谈的方式；顾客反馈：主要为顾客建立档案，定期电话或登门进行回访。</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宋体" w:hAnsi="宋体" w:cs="宋体"/>
                <w:szCs w:val="21"/>
              </w:rPr>
            </w:pPr>
            <w:r>
              <w:rPr>
                <w:rFonts w:hint="eastAsia" w:ascii="宋体" w:hAnsi="宋体" w:cs="宋体"/>
                <w:szCs w:val="21"/>
              </w:rPr>
              <w:t>与产品和服务要求有关的要求确定</w:t>
            </w:r>
          </w:p>
        </w:tc>
        <w:tc>
          <w:tcPr>
            <w:tcW w:w="1311" w:type="dxa"/>
            <w:vAlign w:val="center"/>
          </w:tcPr>
          <w:p>
            <w:pPr>
              <w:spacing w:line="360" w:lineRule="auto"/>
              <w:rPr>
                <w:rFonts w:ascii="宋体" w:hAnsi="宋体" w:cs="宋体"/>
                <w:szCs w:val="21"/>
              </w:rPr>
            </w:pPr>
            <w:r>
              <w:rPr>
                <w:rFonts w:hint="eastAsia" w:ascii="宋体" w:hAnsi="宋体" w:cs="宋体"/>
                <w:szCs w:val="21"/>
              </w:rPr>
              <w:t>Q8.2.2</w:t>
            </w:r>
          </w:p>
          <w:p>
            <w:pPr>
              <w:spacing w:line="360" w:lineRule="auto"/>
              <w:ind w:firstLine="420" w:firstLineChars="200"/>
              <w:rPr>
                <w:rFonts w:ascii="宋体" w:hAnsi="宋体" w:cs="宋体"/>
                <w:szCs w:val="21"/>
              </w:rPr>
            </w:pPr>
            <w:r>
              <w:rPr>
                <w:rFonts w:hint="eastAsia" w:ascii="宋体" w:hAnsi="宋体" w:cs="宋体"/>
                <w:szCs w:val="21"/>
              </w:rPr>
              <w:t xml:space="preserve"> </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该公司主要从事智能化工业机器人、钻井泥浆无害化处理设备、电磁加热设备和电磁加热三项分离装置、固体废弃物处理设备设计、销售；采油设备、石油钻采机械部件的销售。油田技术服务；钻井泥浆（水基泥浆、油基泥浆、盐水泥浆）不落地无害化处理；环保专用设备设计及技术服务，主要依据合同法、国家及行业标准和顾客要求进行销售服务，与产品和服务有关的要求主要体现在与顾客所签定的合同中。</w:t>
            </w:r>
          </w:p>
          <w:p>
            <w:pPr>
              <w:spacing w:line="360" w:lineRule="auto"/>
              <w:ind w:firstLine="420" w:firstLineChars="200"/>
              <w:rPr>
                <w:rFonts w:ascii="宋体" w:hAnsi="宋体" w:cs="宋体"/>
                <w:szCs w:val="21"/>
              </w:rPr>
            </w:pPr>
            <w:r>
              <w:rPr>
                <w:rFonts w:hint="eastAsia" w:ascii="宋体" w:hAnsi="宋体" w:cs="宋体"/>
                <w:szCs w:val="21"/>
              </w:rPr>
              <w:t>另外，该公司确定并收集了产品质量法、合同法、消费者权益保护法等相关法律法规，将其中的相关要求作为与产品有关要求的补充。</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1809" w:type="dxa"/>
            <w:vAlign w:val="center"/>
          </w:tcPr>
          <w:p>
            <w:pPr>
              <w:rPr>
                <w:rFonts w:ascii="宋体" w:hAnsi="宋体" w:cs="宋体"/>
                <w:szCs w:val="21"/>
              </w:rPr>
            </w:pPr>
            <w:r>
              <w:rPr>
                <w:rFonts w:hint="eastAsia" w:ascii="宋体" w:hAnsi="宋体" w:cs="宋体"/>
                <w:szCs w:val="21"/>
              </w:rPr>
              <w:t>与产品和服务要求有关的要求评审</w:t>
            </w:r>
          </w:p>
        </w:tc>
        <w:tc>
          <w:tcPr>
            <w:tcW w:w="1311" w:type="dxa"/>
            <w:vAlign w:val="center"/>
          </w:tcPr>
          <w:p>
            <w:pPr>
              <w:rPr>
                <w:rFonts w:ascii="宋体" w:hAnsi="宋体" w:cs="宋体"/>
                <w:szCs w:val="21"/>
              </w:rPr>
            </w:pPr>
            <w:r>
              <w:rPr>
                <w:rFonts w:hint="eastAsia" w:ascii="宋体" w:hAnsi="宋体" w:cs="宋体"/>
                <w:szCs w:val="21"/>
              </w:rPr>
              <w:t>Q8.2.3</w:t>
            </w:r>
          </w:p>
          <w:p>
            <w:pPr>
              <w:rPr>
                <w:rFonts w:ascii="宋体" w:hAnsi="宋体" w:cs="宋体"/>
                <w:szCs w:val="21"/>
              </w:rPr>
            </w:pP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该公司与产品有关要求主要在合同中体现，在合同签订之前，由总经理组织各相关部门以会议或会签的方式进行评审。</w:t>
            </w:r>
          </w:p>
          <w:p>
            <w:pPr>
              <w:tabs>
                <w:tab w:val="left" w:pos="0"/>
              </w:tabs>
              <w:spacing w:line="360" w:lineRule="auto"/>
              <w:ind w:firstLine="420" w:firstLineChars="200"/>
              <w:jc w:val="left"/>
              <w:rPr>
                <w:rFonts w:ascii="宋体" w:hAnsi="宋体" w:cs="宋体"/>
                <w:szCs w:val="21"/>
              </w:rPr>
            </w:pPr>
            <w:r>
              <w:rPr>
                <w:rFonts w:hint="eastAsia" w:ascii="宋体" w:hAnsi="宋体" w:cs="宋体"/>
                <w:szCs w:val="21"/>
              </w:rPr>
              <w:t>抽</w:t>
            </w:r>
            <w:r>
              <w:rPr>
                <w:rFonts w:hint="eastAsia" w:ascii="宋体" w:hAnsi="宋体" w:cs="宋体"/>
                <w:szCs w:val="21"/>
                <w:lang w:eastAsia="zh-CN"/>
              </w:rPr>
              <w:t>，</w:t>
            </w:r>
            <w:r>
              <w:rPr>
                <w:rFonts w:hint="eastAsia" w:ascii="宋体" w:hAnsi="宋体" w:cs="宋体"/>
                <w:szCs w:val="21"/>
                <w:lang w:val="en-US" w:eastAsia="zh-CN"/>
              </w:rPr>
              <w:t xml:space="preserve">编号：OS20201027， </w:t>
            </w:r>
            <w:r>
              <w:rPr>
                <w:rFonts w:hint="eastAsia" w:ascii="宋体" w:hAnsi="宋体" w:cs="宋体"/>
                <w:szCs w:val="21"/>
              </w:rPr>
              <w:t>202</w:t>
            </w:r>
            <w:r>
              <w:rPr>
                <w:rFonts w:hint="eastAsia" w:ascii="宋体" w:hAnsi="宋体" w:cs="宋体"/>
                <w:szCs w:val="21"/>
                <w:lang w:val="en-US" w:eastAsia="zh-CN"/>
              </w:rPr>
              <w:t>0</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27</w:t>
            </w:r>
            <w:r>
              <w:rPr>
                <w:rFonts w:hint="eastAsia" w:ascii="宋体" w:hAnsi="宋体" w:cs="宋体"/>
                <w:szCs w:val="21"/>
              </w:rPr>
              <w:t>日与黑龙江省万意达节能环保设备制造有限公司签订的</w:t>
            </w:r>
            <w:r>
              <w:rPr>
                <w:rFonts w:hint="eastAsia" w:ascii="宋体" w:hAnsi="宋体" w:cs="宋体"/>
                <w:szCs w:val="21"/>
                <w:lang w:val="en-US" w:eastAsia="zh-CN"/>
              </w:rPr>
              <w:t>智能电磁兼容装置的《工业产品供销合同》1台，</w:t>
            </w:r>
            <w:r>
              <w:rPr>
                <w:rFonts w:hint="eastAsia" w:ascii="宋体" w:hAnsi="宋体" w:cs="宋体"/>
                <w:szCs w:val="21"/>
              </w:rPr>
              <w:t>合同中明确了价格、交货时间、地点、包装物要求等，收到合同信息后，总经理组织各部门负责人进行合同评审，评审通过签订了正式合同，双方签字盖章视为合同经过评审的证据。</w:t>
            </w:r>
          </w:p>
          <w:p>
            <w:pPr>
              <w:tabs>
                <w:tab w:val="left" w:pos="0"/>
              </w:tabs>
              <w:spacing w:line="360" w:lineRule="auto"/>
              <w:ind w:firstLine="420" w:firstLineChars="200"/>
              <w:jc w:val="left"/>
              <w:rPr>
                <w:rFonts w:ascii="宋体" w:hAnsi="宋体" w:cs="宋体"/>
                <w:szCs w:val="21"/>
              </w:rPr>
            </w:pPr>
            <w:r>
              <w:rPr>
                <w:rFonts w:hint="eastAsia" w:ascii="宋体" w:hAnsi="宋体" w:cs="宋体"/>
                <w:szCs w:val="21"/>
              </w:rPr>
              <w:t>抽</w:t>
            </w:r>
            <w:r>
              <w:rPr>
                <w:rFonts w:hint="eastAsia" w:ascii="宋体" w:hAnsi="宋体" w:cs="宋体"/>
                <w:szCs w:val="21"/>
                <w:lang w:eastAsia="zh-CN"/>
              </w:rPr>
              <w:t>，</w:t>
            </w:r>
            <w:r>
              <w:rPr>
                <w:rFonts w:hint="eastAsia" w:ascii="宋体" w:hAnsi="宋体" w:cs="宋体"/>
                <w:szCs w:val="21"/>
                <w:lang w:val="en-US" w:eastAsia="zh-CN"/>
              </w:rPr>
              <w:t>编号：OS20211015</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5日与</w:t>
            </w:r>
            <w:r>
              <w:rPr>
                <w:rFonts w:hint="eastAsia" w:ascii="宋体" w:hAnsi="宋体" w:cs="宋体"/>
                <w:szCs w:val="21"/>
                <w:lang w:val="en-US" w:eastAsia="zh-CN"/>
              </w:rPr>
              <w:t>普尼达科技</w:t>
            </w:r>
            <w:r>
              <w:rPr>
                <w:rFonts w:hint="eastAsia" w:ascii="宋体" w:hAnsi="宋体" w:cs="宋体"/>
                <w:szCs w:val="21"/>
              </w:rPr>
              <w:t>有限公司签订的</w:t>
            </w:r>
            <w:r>
              <w:rPr>
                <w:rFonts w:hint="eastAsia" w:ascii="宋体" w:hAnsi="宋体" w:cs="宋体"/>
                <w:szCs w:val="21"/>
                <w:lang w:val="en-US" w:eastAsia="zh-CN"/>
              </w:rPr>
              <w:t>智能电磁兼容装置的《工业产品供销合同》</w:t>
            </w:r>
            <w:r>
              <w:rPr>
                <w:rFonts w:hint="eastAsia" w:ascii="宋体" w:hAnsi="宋体" w:cs="宋体"/>
                <w:szCs w:val="21"/>
              </w:rPr>
              <w:t>，</w:t>
            </w:r>
            <w:r>
              <w:rPr>
                <w:rFonts w:hint="eastAsia" w:ascii="宋体" w:hAnsi="宋体" w:cs="宋体"/>
                <w:szCs w:val="21"/>
                <w:lang w:val="en-US" w:eastAsia="zh-CN"/>
              </w:rPr>
              <w:t>1台，</w:t>
            </w:r>
            <w:r>
              <w:rPr>
                <w:rFonts w:hint="eastAsia" w:ascii="宋体" w:hAnsi="宋体" w:cs="宋体"/>
                <w:szCs w:val="21"/>
              </w:rPr>
              <w:t>合同中明确了价格、交货时间、地点、包装物要求等，收到合同信息后，总经理组织各部门负责人进行合同评审，评审通过签订了正式合同，双方签字盖章视为合同经过评审的证据。</w:t>
            </w:r>
          </w:p>
          <w:p>
            <w:pPr>
              <w:tabs>
                <w:tab w:val="left" w:pos="0"/>
              </w:tabs>
              <w:spacing w:line="360" w:lineRule="auto"/>
              <w:ind w:firstLine="420" w:firstLineChars="200"/>
              <w:jc w:val="left"/>
              <w:rPr>
                <w:rFonts w:hint="eastAsia" w:ascii="宋体" w:hAnsi="宋体" w:cs="宋体"/>
                <w:szCs w:val="21"/>
              </w:rPr>
            </w:pPr>
            <w:r>
              <w:rPr>
                <w:rFonts w:hint="eastAsia" w:ascii="宋体" w:hAnsi="宋体" w:cs="宋体"/>
                <w:szCs w:val="21"/>
              </w:rPr>
              <w:t>抽</w:t>
            </w:r>
            <w:r>
              <w:rPr>
                <w:rFonts w:hint="eastAsia" w:ascii="宋体" w:hAnsi="宋体" w:cs="宋体"/>
                <w:szCs w:val="21"/>
                <w:lang w:eastAsia="zh-CN"/>
              </w:rPr>
              <w:t>，</w:t>
            </w:r>
            <w:r>
              <w:rPr>
                <w:rFonts w:hint="eastAsia" w:ascii="宋体" w:hAnsi="宋体" w:cs="宋体"/>
                <w:szCs w:val="21"/>
                <w:lang w:val="en-US" w:eastAsia="zh-CN"/>
              </w:rPr>
              <w:t xml:space="preserve">编号：DQGLJ-ZTGS-2021-YTGC-5006  </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月2</w:t>
            </w:r>
            <w:r>
              <w:rPr>
                <w:rFonts w:hint="eastAsia" w:ascii="宋体" w:hAnsi="宋体" w:cs="宋体"/>
                <w:szCs w:val="21"/>
                <w:lang w:val="en-US" w:eastAsia="zh-CN"/>
              </w:rPr>
              <w:t>8</w:t>
            </w:r>
            <w:r>
              <w:rPr>
                <w:rFonts w:hint="eastAsia" w:ascii="宋体" w:hAnsi="宋体" w:cs="宋体"/>
                <w:szCs w:val="21"/>
              </w:rPr>
              <w:t>日与</w:t>
            </w:r>
            <w:r>
              <w:rPr>
                <w:rFonts w:hint="eastAsia" w:ascii="宋体" w:hAnsi="宋体" w:cs="宋体"/>
                <w:szCs w:val="21"/>
                <w:lang w:val="en-US" w:eastAsia="zh-CN"/>
              </w:rPr>
              <w:t>大庆钻探工程公司</w:t>
            </w:r>
            <w:r>
              <w:rPr>
                <w:rFonts w:hint="eastAsia" w:ascii="宋体" w:hAnsi="宋体" w:cs="宋体"/>
                <w:szCs w:val="21"/>
              </w:rPr>
              <w:t>签订的</w:t>
            </w:r>
            <w:r>
              <w:rPr>
                <w:rFonts w:hint="eastAsia" w:ascii="宋体" w:hAnsi="宋体" w:cs="宋体"/>
                <w:szCs w:val="21"/>
                <w:lang w:eastAsia="zh-CN"/>
              </w:rPr>
              <w:t>《</w:t>
            </w:r>
            <w:r>
              <w:rPr>
                <w:rFonts w:hint="eastAsia" w:ascii="宋体" w:hAnsi="宋体" w:cs="宋体"/>
                <w:szCs w:val="21"/>
                <w:lang w:val="en-US" w:eastAsia="zh-CN"/>
              </w:rPr>
              <w:t>钻井废弃物处置利用合同</w:t>
            </w:r>
            <w:r>
              <w:rPr>
                <w:rFonts w:hint="eastAsia" w:ascii="宋体" w:hAnsi="宋体" w:cs="宋体"/>
                <w:szCs w:val="21"/>
                <w:lang w:eastAsia="zh-CN"/>
              </w:rPr>
              <w:t>》</w:t>
            </w:r>
            <w:r>
              <w:rPr>
                <w:rFonts w:hint="eastAsia" w:ascii="宋体" w:hAnsi="宋体" w:cs="宋体"/>
                <w:szCs w:val="21"/>
              </w:rPr>
              <w:t>销售合同，收到合同信息后，总经理组织各部门负责人进行合同评审，评审通过签订了正式合同，双方签字盖章视为合同经过评审的证据。</w:t>
            </w:r>
          </w:p>
          <w:p>
            <w:pPr>
              <w:spacing w:line="360" w:lineRule="auto"/>
              <w:ind w:firstLine="420" w:firstLineChars="200"/>
              <w:rPr>
                <w:rFonts w:ascii="宋体" w:hAnsi="宋体" w:cs="宋体"/>
                <w:szCs w:val="21"/>
              </w:rPr>
            </w:pPr>
            <w:r>
              <w:rPr>
                <w:rFonts w:hint="eastAsia" w:ascii="宋体" w:hAnsi="宋体" w:cs="宋体"/>
                <w:szCs w:val="21"/>
              </w:rPr>
              <w:t>评审在合同签订之前进行，符合要求。</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809" w:type="dxa"/>
            <w:vAlign w:val="center"/>
          </w:tcPr>
          <w:p>
            <w:pPr>
              <w:rPr>
                <w:rFonts w:ascii="宋体" w:hAnsi="宋体" w:cs="宋体"/>
                <w:szCs w:val="21"/>
              </w:rPr>
            </w:pPr>
            <w:r>
              <w:rPr>
                <w:rFonts w:hint="eastAsia" w:ascii="宋体" w:hAnsi="宋体" w:cs="宋体"/>
                <w:szCs w:val="21"/>
              </w:rPr>
              <w:t>产品和服务要求的变更</w:t>
            </w:r>
          </w:p>
        </w:tc>
        <w:tc>
          <w:tcPr>
            <w:tcW w:w="1311" w:type="dxa"/>
            <w:vAlign w:val="center"/>
          </w:tcPr>
          <w:p>
            <w:pPr>
              <w:rPr>
                <w:rFonts w:ascii="宋体" w:hAnsi="宋体" w:cs="宋体"/>
                <w:szCs w:val="21"/>
              </w:rPr>
            </w:pPr>
            <w:r>
              <w:rPr>
                <w:rFonts w:hint="eastAsia" w:ascii="宋体" w:hAnsi="宋体" w:cs="宋体"/>
                <w:szCs w:val="21"/>
              </w:rPr>
              <w:t>Q8.2.4</w:t>
            </w:r>
          </w:p>
          <w:p>
            <w:pPr>
              <w:rPr>
                <w:rFonts w:ascii="宋体" w:hAnsi="宋体" w:cs="宋体"/>
                <w:szCs w:val="21"/>
              </w:rPr>
            </w:pPr>
          </w:p>
        </w:tc>
        <w:tc>
          <w:tcPr>
            <w:tcW w:w="10004" w:type="dxa"/>
            <w:vAlign w:val="center"/>
          </w:tcPr>
          <w:p>
            <w:pPr>
              <w:rPr>
                <w:rFonts w:ascii="宋体" w:hAnsi="宋体" w:cs="宋体"/>
                <w:szCs w:val="21"/>
              </w:rPr>
            </w:pPr>
            <w:r>
              <w:rPr>
                <w:rFonts w:hint="eastAsia" w:ascii="宋体" w:hAnsi="宋体" w:cs="宋体"/>
                <w:szCs w:val="21"/>
              </w:rPr>
              <w:t>以上合同自签定后未出现合同变更或顾客要求发生变更造成与先前合同或订单要求表述存在差异的情况。</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809" w:type="dxa"/>
            <w:vAlign w:val="center"/>
          </w:tcPr>
          <w:p>
            <w:pPr>
              <w:spacing w:line="360" w:lineRule="auto"/>
              <w:rPr>
                <w:rFonts w:ascii="宋体" w:hAnsi="宋体" w:cs="宋体"/>
                <w:szCs w:val="21"/>
              </w:rPr>
            </w:pPr>
            <w:r>
              <w:rPr>
                <w:rFonts w:hint="eastAsia" w:ascii="宋体" w:hAnsi="宋体" w:cs="宋体"/>
                <w:szCs w:val="21"/>
              </w:rPr>
              <w:t>外部提供过程、产品和服务的控制</w:t>
            </w:r>
          </w:p>
        </w:tc>
        <w:tc>
          <w:tcPr>
            <w:tcW w:w="1311" w:type="dxa"/>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210" w:firstLineChars="100"/>
              <w:rPr>
                <w:rFonts w:ascii="宋体" w:hAnsi="宋体" w:cs="宋体"/>
                <w:szCs w:val="21"/>
              </w:rPr>
            </w:pPr>
            <w:r>
              <w:rPr>
                <w:rFonts w:hint="eastAsia" w:ascii="宋体" w:hAnsi="宋体" w:cs="宋体"/>
                <w:szCs w:val="21"/>
              </w:rPr>
              <w:t>Q8.4</w:t>
            </w:r>
          </w:p>
        </w:tc>
        <w:tc>
          <w:tcPr>
            <w:tcW w:w="10004" w:type="dxa"/>
          </w:tcPr>
          <w:p>
            <w:pPr>
              <w:tabs>
                <w:tab w:val="left" w:pos="6597"/>
              </w:tabs>
              <w:autoSpaceDE w:val="0"/>
              <w:autoSpaceDN w:val="0"/>
              <w:adjustRightInd w:val="0"/>
              <w:snapToGrid w:val="0"/>
              <w:spacing w:line="360" w:lineRule="auto"/>
              <w:ind w:right="-6" w:rightChars="-3" w:firstLine="420" w:firstLineChars="200"/>
              <w:rPr>
                <w:rFonts w:ascii="宋体" w:hAnsi="宋体" w:cs="宋体"/>
                <w:szCs w:val="21"/>
              </w:rPr>
            </w:pPr>
            <w:r>
              <w:rPr>
                <w:rFonts w:hint="eastAsia" w:ascii="宋体" w:hAnsi="宋体" w:cs="宋体"/>
                <w:szCs w:val="21"/>
              </w:rPr>
              <w:t>查见《外部提供过程产品服务控制程序》，规定了采购物资分类、供方评价与管理状况、采购信息、采购产品验证等内容。对采购的物资进行分类，并依据重要程度分别予以控制。</w:t>
            </w:r>
          </w:p>
          <w:p>
            <w:pPr>
              <w:tabs>
                <w:tab w:val="left" w:pos="6597"/>
              </w:tabs>
              <w:spacing w:line="360" w:lineRule="auto"/>
              <w:ind w:firstLine="420" w:firstLineChars="200"/>
              <w:rPr>
                <w:rFonts w:ascii="宋体" w:hAnsi="宋体" w:cs="宋体"/>
                <w:szCs w:val="21"/>
              </w:rPr>
            </w:pPr>
            <w:r>
              <w:rPr>
                <w:rFonts w:hint="eastAsia" w:ascii="宋体" w:hAnsi="宋体" w:cs="宋体"/>
                <w:szCs w:val="21"/>
              </w:rPr>
              <w:t>提供了《合格供方评价标准》，评价内容包含管理体系、质量安全环境要求、交货期、人员、设备、现场、生产能力、资质、价格、服务等，分数比例5-10分不等，各分项有相应的评分标准。</w:t>
            </w:r>
          </w:p>
          <w:p>
            <w:pPr>
              <w:tabs>
                <w:tab w:val="left" w:pos="6597"/>
              </w:tabs>
              <w:spacing w:line="360" w:lineRule="auto"/>
              <w:ind w:firstLine="420" w:firstLineChars="200"/>
              <w:rPr>
                <w:rFonts w:ascii="宋体" w:hAnsi="宋体" w:cs="宋体"/>
                <w:szCs w:val="21"/>
              </w:rPr>
            </w:pPr>
            <w:r>
              <w:rPr>
                <w:rFonts w:hint="eastAsia" w:ascii="宋体" w:hAnsi="宋体" w:cs="宋体"/>
                <w:szCs w:val="21"/>
              </w:rPr>
              <w:t>提供了《合格供方名录》，收录黑龙江省万意达节能环保设备制造有限公司、黑龙江省万意达工程有限公司、广东江信电子科技有限公司、北京八方泵业机械有限公司、北京八方泵业机械有限公司、深圳市鑫日升科技有限公司、广州市贝晓德智能科技有限公司、广州市鑫德马克电机有限公司、霸州市同清环境科技有限公司、聊城市国豪环保科技有限公司、唐山市斯瑞尔化工有限公司等合格供方，有供方名称，提供的产品或服务、联系人、联系电话、供方详细地址等信息。</w:t>
            </w:r>
          </w:p>
          <w:p>
            <w:pPr>
              <w:tabs>
                <w:tab w:val="left" w:pos="6597"/>
              </w:tabs>
              <w:spacing w:line="360" w:lineRule="auto"/>
              <w:ind w:firstLine="420" w:firstLineChars="200"/>
              <w:rPr>
                <w:rFonts w:hint="eastAsia" w:ascii="宋体" w:hAnsi="宋体" w:eastAsia="宋体" w:cs="宋体"/>
                <w:szCs w:val="21"/>
              </w:rPr>
            </w:pPr>
            <w:r>
              <w:rPr>
                <w:rFonts w:hint="eastAsia" w:ascii="宋体" w:hAnsi="宋体" w:cs="宋体"/>
                <w:szCs w:val="21"/>
              </w:rPr>
              <w:t>查见《供方调查评价表》，有供方名称、评价项目及得分、评价结果等内容，评价项目主要有生产设备、生产场地、技术能力、通信条件、长期可靠、信誉等，对黑龙江省万意达工程有限公司、广东江信电子科技有限公司、北京八方泵业机械有限公司等供方进行了调查评价，评价结果合格。评价人徐明杰等，日期</w:t>
            </w:r>
            <w:r>
              <w:rPr>
                <w:rFonts w:hint="eastAsia" w:ascii="宋体" w:hAnsi="宋体" w:eastAsia="宋体" w:cs="宋体"/>
                <w:szCs w:val="21"/>
              </w:rPr>
              <w:t>202</w:t>
            </w:r>
            <w:r>
              <w:rPr>
                <w:rFonts w:hint="eastAsia" w:ascii="宋体" w:hAnsi="宋体" w:eastAsia="宋体" w:cs="宋体"/>
                <w:szCs w:val="21"/>
                <w:lang w:val="en-US" w:eastAsia="zh-CN"/>
              </w:rPr>
              <w:t>1</w:t>
            </w:r>
            <w:r>
              <w:rPr>
                <w:rFonts w:hint="eastAsia" w:ascii="宋体" w:hAnsi="宋体" w:eastAsia="宋体" w:cs="宋体"/>
                <w:szCs w:val="21"/>
              </w:rPr>
              <w:t>.</w:t>
            </w:r>
            <w:r>
              <w:rPr>
                <w:rFonts w:hint="eastAsia" w:ascii="宋体" w:hAnsi="宋体" w:eastAsia="宋体" w:cs="宋体"/>
                <w:szCs w:val="21"/>
                <w:lang w:val="en-US" w:eastAsia="zh-CN"/>
              </w:rPr>
              <w:t>1</w:t>
            </w: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日。</w:t>
            </w:r>
          </w:p>
          <w:p>
            <w:pPr>
              <w:tabs>
                <w:tab w:val="left" w:pos="6597"/>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企业在对供方进行选择和评价时，收集了企业的相关产品的法律法规要求、许可证、产品质量、价格、售后服务、供货及时程度、文件提供、产品包装等，对于供方的相关资质，但对供方评价应充分考虑环境及职业健康安全方面的要求，与负责人进行了沟通。</w:t>
            </w:r>
          </w:p>
          <w:p>
            <w:pPr>
              <w:tabs>
                <w:tab w:val="left" w:pos="6597"/>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供销部经理介绍，根据销售产品及交付时间的需要提报采购申请，经批准后组织实施采购。在实施采购前公司业务员与供方进行沟通后编制采购文件，注明名称、型号、数量、要求、交付期等内容，列入采购申请单组织实施。</w:t>
            </w:r>
          </w:p>
          <w:p>
            <w:pPr>
              <w:tabs>
                <w:tab w:val="left" w:pos="0"/>
              </w:tabs>
              <w:spacing w:line="360" w:lineRule="auto"/>
              <w:jc w:val="left"/>
              <w:rPr>
                <w:rFonts w:hint="default" w:ascii="宋体" w:hAnsi="宋体" w:eastAsia="宋体" w:cs="宋体"/>
                <w:szCs w:val="21"/>
                <w:lang w:val="en-US" w:eastAsia="zh-CN"/>
              </w:rPr>
            </w:pPr>
            <w:r>
              <w:rPr>
                <w:rFonts w:hint="eastAsia" w:ascii="宋体" w:hAnsi="宋体" w:cs="宋体"/>
                <w:szCs w:val="21"/>
                <w:lang w:val="en-US" w:eastAsia="zh-CN"/>
              </w:rPr>
              <w:t>提供1，</w:t>
            </w:r>
            <w:r>
              <w:rPr>
                <w:rFonts w:hint="eastAsia" w:ascii="宋体" w:hAnsi="宋体" w:cs="宋体"/>
                <w:szCs w:val="21"/>
              </w:rPr>
              <w:t>20</w:t>
            </w:r>
            <w:r>
              <w:rPr>
                <w:rFonts w:hint="eastAsia" w:ascii="宋体" w:hAnsi="宋体" w:cs="宋体"/>
                <w:szCs w:val="21"/>
                <w:lang w:val="en-US" w:eastAsia="zh-CN"/>
              </w:rPr>
              <w:t>21.6.4</w:t>
            </w:r>
            <w:r>
              <w:rPr>
                <w:rFonts w:hint="eastAsia" w:ascii="宋体" w:hAnsi="宋体" w:cs="宋体"/>
                <w:szCs w:val="21"/>
              </w:rPr>
              <w:t>与</w:t>
            </w:r>
            <w:r>
              <w:rPr>
                <w:rFonts w:hint="eastAsia" w:ascii="宋体" w:hAnsi="宋体" w:cs="宋体"/>
                <w:szCs w:val="21"/>
                <w:lang w:val="en-US" w:eastAsia="zh-CN"/>
              </w:rPr>
              <w:t>济南铃兰智能科技有限公司签订《产品销售合同》，产品名称：PLC、生产厂家、型号、数量，</w:t>
            </w:r>
            <w:r>
              <w:rPr>
                <w:rFonts w:hint="eastAsia" w:ascii="宋体" w:hAnsi="宋体" w:cs="宋体"/>
                <w:szCs w:val="21"/>
              </w:rPr>
              <w:t>采购合同明确了价格、供货期、运输方式、交货地、质保期，</w:t>
            </w:r>
            <w:r>
              <w:rPr>
                <w:rFonts w:hint="eastAsia" w:ascii="宋体" w:hAnsi="宋体" w:cs="宋体"/>
                <w:szCs w:val="21"/>
                <w:lang w:val="en-US" w:eastAsia="zh-CN"/>
              </w:rPr>
              <w:t>经审批同意，</w:t>
            </w:r>
            <w:r>
              <w:rPr>
                <w:rFonts w:hint="eastAsia" w:ascii="宋体" w:hAnsi="宋体" w:cs="宋体"/>
                <w:szCs w:val="21"/>
              </w:rPr>
              <w:t>双方签字盖章。</w:t>
            </w:r>
          </w:p>
          <w:p>
            <w:pPr>
              <w:tabs>
                <w:tab w:val="left" w:pos="0"/>
              </w:tabs>
              <w:spacing w:line="360" w:lineRule="auto"/>
              <w:jc w:val="left"/>
              <w:rPr>
                <w:rFonts w:hint="default" w:ascii="宋体" w:hAnsi="宋体" w:eastAsia="宋体" w:cs="宋体"/>
                <w:szCs w:val="21"/>
                <w:lang w:val="en-US" w:eastAsia="zh-CN"/>
              </w:rPr>
            </w:pPr>
            <w:r>
              <w:rPr>
                <w:rFonts w:hint="eastAsia" w:ascii="宋体" w:hAnsi="宋体" w:cs="宋体"/>
                <w:szCs w:val="21"/>
                <w:lang w:val="en-US" w:eastAsia="zh-CN"/>
              </w:rPr>
              <w:t>提供2，2021.5.19与广东江信电子科技有限公司签订《产品销售合同》，产品名称：电磁加热控制板，型号、数量，</w:t>
            </w:r>
            <w:r>
              <w:rPr>
                <w:rFonts w:hint="eastAsia" w:ascii="宋体" w:hAnsi="宋体" w:cs="宋体"/>
                <w:szCs w:val="21"/>
              </w:rPr>
              <w:t>采购合同明确了价格、供货期、运输方式、交货地、质保期，</w:t>
            </w:r>
            <w:r>
              <w:rPr>
                <w:rFonts w:hint="eastAsia" w:ascii="宋体" w:hAnsi="宋体" w:cs="宋体"/>
                <w:szCs w:val="21"/>
                <w:lang w:val="en-US" w:eastAsia="zh-CN"/>
              </w:rPr>
              <w:t>经审批同意，</w:t>
            </w:r>
            <w:r>
              <w:rPr>
                <w:rFonts w:hint="eastAsia" w:ascii="宋体" w:hAnsi="宋体" w:cs="宋体"/>
                <w:szCs w:val="21"/>
              </w:rPr>
              <w:t>双方签字盖章。</w:t>
            </w:r>
          </w:p>
          <w:p>
            <w:pPr>
              <w:tabs>
                <w:tab w:val="left" w:pos="0"/>
              </w:tabs>
              <w:spacing w:line="360" w:lineRule="auto"/>
              <w:jc w:val="left"/>
              <w:rPr>
                <w:rFonts w:hint="eastAsia" w:ascii="宋体" w:hAnsi="宋体" w:cs="宋体"/>
                <w:szCs w:val="21"/>
              </w:rPr>
            </w:pPr>
            <w:r>
              <w:rPr>
                <w:rFonts w:hint="eastAsia" w:ascii="宋体" w:hAnsi="宋体" w:cs="宋体"/>
                <w:szCs w:val="21"/>
                <w:lang w:val="en-US" w:eastAsia="zh-CN"/>
              </w:rPr>
              <w:t>提供3，2021.3.19与乐清市欣平散热器有限公司签订的《订购合同》，产品名称：散热片型号、数量，</w:t>
            </w:r>
            <w:r>
              <w:rPr>
                <w:rFonts w:hint="eastAsia" w:ascii="宋体" w:hAnsi="宋体" w:cs="宋体"/>
                <w:szCs w:val="21"/>
              </w:rPr>
              <w:t>采购合同明确了价格、供货期、运输方式、交货地、质保期，</w:t>
            </w:r>
            <w:r>
              <w:rPr>
                <w:rFonts w:hint="eastAsia" w:ascii="宋体" w:hAnsi="宋体" w:cs="宋体"/>
                <w:szCs w:val="21"/>
                <w:lang w:val="en-US" w:eastAsia="zh-CN"/>
              </w:rPr>
              <w:t>经审批同意，</w:t>
            </w:r>
            <w:r>
              <w:rPr>
                <w:rFonts w:hint="eastAsia" w:ascii="宋体" w:hAnsi="宋体" w:cs="宋体"/>
                <w:szCs w:val="21"/>
              </w:rPr>
              <w:t>双方签字盖章。</w:t>
            </w:r>
          </w:p>
          <w:p>
            <w:pPr>
              <w:tabs>
                <w:tab w:val="left" w:pos="0"/>
              </w:tabs>
              <w:spacing w:line="360" w:lineRule="auto"/>
              <w:jc w:val="left"/>
              <w:rPr>
                <w:rFonts w:hint="eastAsia" w:ascii="宋体" w:hAnsi="宋体" w:cs="宋体"/>
                <w:szCs w:val="21"/>
              </w:rPr>
            </w:pPr>
            <w:r>
              <w:rPr>
                <w:rFonts w:hint="eastAsia" w:ascii="宋体" w:hAnsi="宋体" w:cs="宋体"/>
                <w:szCs w:val="21"/>
                <w:lang w:val="en-US" w:eastAsia="zh-CN"/>
              </w:rPr>
              <w:t>提供4,2021.3.2与广东江信电子科技有限公司签订《产品购销合同》，产品名称：大概率主板、24V风扇电源板，型号、数量，</w:t>
            </w:r>
            <w:r>
              <w:rPr>
                <w:rFonts w:hint="eastAsia" w:ascii="宋体" w:hAnsi="宋体" w:cs="宋体"/>
                <w:szCs w:val="21"/>
              </w:rPr>
              <w:t>采购合同明确了价格、供货期、运输方式、交货地、质保期，</w:t>
            </w:r>
            <w:r>
              <w:rPr>
                <w:rFonts w:hint="eastAsia" w:ascii="宋体" w:hAnsi="宋体" w:cs="宋体"/>
                <w:szCs w:val="21"/>
                <w:lang w:val="en-US" w:eastAsia="zh-CN"/>
              </w:rPr>
              <w:t>经审批同意，</w:t>
            </w:r>
            <w:r>
              <w:rPr>
                <w:rFonts w:hint="eastAsia" w:ascii="宋体" w:hAnsi="宋体" w:cs="宋体"/>
                <w:szCs w:val="21"/>
              </w:rPr>
              <w:t>双方签字盖章。</w:t>
            </w:r>
          </w:p>
          <w:p>
            <w:pPr>
              <w:tabs>
                <w:tab w:val="left" w:pos="0"/>
              </w:tabs>
              <w:spacing w:line="360" w:lineRule="auto"/>
              <w:jc w:val="left"/>
              <w:rPr>
                <w:rFonts w:ascii="宋体" w:hAnsi="宋体" w:cs="宋体"/>
                <w:szCs w:val="21"/>
              </w:rPr>
            </w:pPr>
            <w:r>
              <w:rPr>
                <w:rFonts w:hint="eastAsia" w:ascii="宋体" w:hAnsi="宋体" w:cs="宋体"/>
                <w:szCs w:val="21"/>
                <w:lang w:val="en-US" w:eastAsia="zh-CN"/>
              </w:rPr>
              <w:t>提供5,2020.12.31与沈阳雅德琳机电设备销售有限公司签订《工业品买卖协议》，产品名称：PLC触摸屏、扩展模块、通讯线型号、数量，</w:t>
            </w:r>
            <w:r>
              <w:rPr>
                <w:rFonts w:hint="eastAsia" w:ascii="宋体" w:hAnsi="宋体" w:cs="宋体"/>
                <w:szCs w:val="21"/>
              </w:rPr>
              <w:t>采购合同明确了价格、供货期、运输方式、交货地、质保期，</w:t>
            </w:r>
            <w:r>
              <w:rPr>
                <w:rFonts w:hint="eastAsia" w:ascii="宋体" w:hAnsi="宋体" w:cs="宋体"/>
                <w:szCs w:val="21"/>
                <w:lang w:val="en-US" w:eastAsia="zh-CN"/>
              </w:rPr>
              <w:t>经审批同意，</w:t>
            </w:r>
            <w:r>
              <w:rPr>
                <w:rFonts w:hint="eastAsia" w:ascii="宋体" w:hAnsi="宋体" w:cs="宋体"/>
                <w:szCs w:val="21"/>
              </w:rPr>
              <w:t>双方签字盖章。</w:t>
            </w:r>
          </w:p>
          <w:p>
            <w:pPr>
              <w:tabs>
                <w:tab w:val="left" w:pos="6597"/>
              </w:tabs>
              <w:spacing w:line="360" w:lineRule="auto"/>
              <w:ind w:firstLine="420" w:firstLineChars="200"/>
              <w:rPr>
                <w:rFonts w:ascii="宋体" w:hAnsi="宋体" w:cs="宋体"/>
                <w:szCs w:val="21"/>
              </w:rPr>
            </w:pPr>
            <w:r>
              <w:rPr>
                <w:rFonts w:hint="eastAsia" w:ascii="宋体" w:hAnsi="宋体" w:cs="宋体"/>
                <w:szCs w:val="21"/>
              </w:rPr>
              <w:t>对供方产品质量、价格、交货期、服务等业绩进行统计，不合格的供方剔除，对供方提供的产品采取入库前验证的方式，验证通常采取查验产品外观、数量、合格证的方式。</w:t>
            </w:r>
          </w:p>
        </w:tc>
        <w:tc>
          <w:tcPr>
            <w:tcW w:w="1585" w:type="dxa"/>
          </w:tcPr>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ind w:firstLine="240" w:firstLineChars="100"/>
              <w:rPr>
                <w:rFonts w:hint="default" w:ascii="楷体" w:hAnsi="楷体" w:eastAsia="楷体"/>
                <w:sz w:val="24"/>
                <w:szCs w:val="24"/>
              </w:rPr>
            </w:pPr>
            <w:r>
              <w:rPr>
                <w:rFonts w:hint="default" w:ascii="楷体" w:hAnsi="楷体" w:eastAsia="楷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809" w:type="dxa"/>
            <w:vAlign w:val="center"/>
          </w:tcPr>
          <w:p>
            <w:pPr>
              <w:spacing w:line="360" w:lineRule="auto"/>
              <w:rPr>
                <w:rFonts w:ascii="宋体" w:hAnsi="宋体" w:cs="宋体"/>
                <w:szCs w:val="21"/>
              </w:rPr>
            </w:pPr>
            <w:r>
              <w:rPr>
                <w:rFonts w:hint="eastAsia" w:ascii="宋体" w:hAnsi="宋体" w:cs="宋体"/>
                <w:szCs w:val="21"/>
              </w:rPr>
              <w:t>销售和服务提供的控制</w:t>
            </w:r>
          </w:p>
        </w:tc>
        <w:tc>
          <w:tcPr>
            <w:tcW w:w="1311" w:type="dxa"/>
            <w:vAlign w:val="center"/>
          </w:tcPr>
          <w:p>
            <w:pPr>
              <w:spacing w:line="360" w:lineRule="auto"/>
              <w:ind w:right="-6" w:rightChars="-3"/>
              <w:rPr>
                <w:rFonts w:ascii="宋体" w:hAnsi="宋体" w:cs="宋体"/>
                <w:szCs w:val="21"/>
              </w:rPr>
            </w:pPr>
          </w:p>
          <w:p>
            <w:pPr>
              <w:spacing w:line="360" w:lineRule="auto"/>
              <w:ind w:right="-6" w:rightChars="-3"/>
              <w:rPr>
                <w:rFonts w:ascii="宋体" w:hAnsi="宋体" w:cs="宋体"/>
                <w:szCs w:val="21"/>
              </w:rPr>
            </w:pPr>
          </w:p>
          <w:p>
            <w:pPr>
              <w:spacing w:line="360" w:lineRule="auto"/>
              <w:ind w:right="-6" w:rightChars="-3"/>
              <w:rPr>
                <w:rFonts w:ascii="宋体" w:hAnsi="宋体" w:cs="宋体"/>
                <w:szCs w:val="21"/>
              </w:rPr>
            </w:pPr>
            <w:r>
              <w:rPr>
                <w:rFonts w:hint="eastAsia" w:ascii="宋体" w:hAnsi="宋体" w:cs="宋体"/>
                <w:szCs w:val="21"/>
              </w:rPr>
              <w:t xml:space="preserve">Q：8.5.1 </w:t>
            </w:r>
          </w:p>
          <w:p>
            <w:pPr>
              <w:spacing w:line="360" w:lineRule="auto"/>
              <w:ind w:right="-6" w:rightChars="-3"/>
              <w:rPr>
                <w:rFonts w:ascii="宋体" w:hAnsi="宋体" w:cs="宋体"/>
                <w:szCs w:val="21"/>
              </w:rPr>
            </w:pPr>
          </w:p>
          <w:p>
            <w:pPr>
              <w:spacing w:line="360" w:lineRule="auto"/>
              <w:ind w:right="-6" w:rightChars="-3"/>
              <w:rPr>
                <w:rFonts w:ascii="宋体" w:hAnsi="宋体" w:cs="宋体"/>
                <w:szCs w:val="21"/>
              </w:rPr>
            </w:pPr>
          </w:p>
          <w:p>
            <w:pPr>
              <w:spacing w:line="360" w:lineRule="auto"/>
              <w:ind w:right="-6" w:rightChars="-3"/>
              <w:rPr>
                <w:rFonts w:ascii="宋体" w:hAnsi="宋体" w:cs="宋体"/>
                <w:szCs w:val="21"/>
              </w:rPr>
            </w:pPr>
          </w:p>
          <w:p>
            <w:pPr>
              <w:spacing w:line="360" w:lineRule="auto"/>
              <w:ind w:right="-6" w:rightChars="-3"/>
              <w:rPr>
                <w:rFonts w:ascii="宋体" w:hAnsi="宋体" w:cs="宋体"/>
                <w:szCs w:val="21"/>
              </w:rPr>
            </w:pPr>
          </w:p>
        </w:tc>
        <w:tc>
          <w:tcPr>
            <w:tcW w:w="10004" w:type="dxa"/>
            <w:vAlign w:val="center"/>
          </w:tcPr>
          <w:p>
            <w:pPr>
              <w:spacing w:line="360" w:lineRule="auto"/>
              <w:ind w:right="-6" w:rightChars="-3"/>
              <w:rPr>
                <w:rFonts w:ascii="宋体" w:hAnsi="宋体" w:cs="宋体"/>
                <w:szCs w:val="21"/>
              </w:rPr>
            </w:pPr>
            <w:r>
              <w:rPr>
                <w:rFonts w:hint="eastAsia" w:ascii="宋体" w:hAnsi="宋体" w:cs="宋体"/>
                <w:szCs w:val="21"/>
              </w:rPr>
              <w:t>公司编制并执行《营销服务提供规范》、《营销服务人员服务规范》、《营销服务质量的控制规范》等。</w:t>
            </w:r>
          </w:p>
          <w:p>
            <w:pPr>
              <w:spacing w:line="360" w:lineRule="auto"/>
              <w:ind w:right="-6" w:rightChars="-3"/>
              <w:rPr>
                <w:rFonts w:ascii="宋体" w:hAnsi="宋体" w:cs="宋体"/>
                <w:szCs w:val="21"/>
              </w:rPr>
            </w:pPr>
            <w:r>
              <w:rPr>
                <w:rFonts w:hint="eastAsia" w:ascii="宋体" w:hAnsi="宋体" w:cs="宋体"/>
                <w:szCs w:val="21"/>
              </w:rPr>
              <w:t>查看营销工作情况：</w:t>
            </w:r>
          </w:p>
          <w:p>
            <w:pPr>
              <w:spacing w:line="360" w:lineRule="auto"/>
              <w:ind w:right="-6" w:rightChars="-3"/>
              <w:rPr>
                <w:rFonts w:ascii="宋体" w:hAnsi="宋体" w:cs="宋体"/>
                <w:szCs w:val="21"/>
              </w:rPr>
            </w:pPr>
            <w:r>
              <w:rPr>
                <w:rFonts w:hint="eastAsia" w:ascii="宋体" w:hAnsi="宋体" w:cs="宋体"/>
                <w:szCs w:val="21"/>
              </w:rPr>
              <w:t>1.规范规定了服务提供特性和验收标准，合同的洽商、评定和签订，售后服务保证，客户投诉的处置以及销售人员的产品知识业务能力的要求。文件可以指导销售过程的进行。</w:t>
            </w:r>
          </w:p>
          <w:p>
            <w:pPr>
              <w:spacing w:line="360" w:lineRule="auto"/>
              <w:ind w:right="-6" w:rightChars="-3"/>
              <w:rPr>
                <w:rFonts w:ascii="宋体" w:hAnsi="宋体" w:cs="宋体"/>
                <w:szCs w:val="21"/>
              </w:rPr>
            </w:pPr>
            <w:r>
              <w:rPr>
                <w:rFonts w:hint="eastAsia" w:ascii="宋体" w:hAnsi="宋体" w:cs="宋体"/>
                <w:szCs w:val="21"/>
              </w:rPr>
              <w:t>2.资源配置齐备，设施设备可以满足要求。</w:t>
            </w:r>
          </w:p>
          <w:p>
            <w:pPr>
              <w:spacing w:line="360" w:lineRule="auto"/>
              <w:ind w:right="-6" w:rightChars="-3"/>
              <w:rPr>
                <w:rFonts w:ascii="宋体" w:hAnsi="宋体" w:cs="宋体"/>
                <w:szCs w:val="21"/>
              </w:rPr>
            </w:pPr>
            <w:r>
              <w:rPr>
                <w:rFonts w:hint="eastAsia" w:ascii="宋体" w:hAnsi="宋体" w:cs="宋体"/>
                <w:szCs w:val="21"/>
              </w:rPr>
              <w:t>3.查看销售合同都进行了评审、加盖了公司公章，参见8.2工作单。</w:t>
            </w:r>
          </w:p>
          <w:p>
            <w:pPr>
              <w:spacing w:line="360" w:lineRule="auto"/>
              <w:ind w:right="-6" w:rightChars="-3"/>
              <w:rPr>
                <w:rFonts w:ascii="宋体" w:hAnsi="宋体" w:cs="宋体"/>
                <w:szCs w:val="21"/>
              </w:rPr>
            </w:pPr>
            <w:r>
              <w:rPr>
                <w:rFonts w:hint="eastAsia" w:ascii="宋体" w:hAnsi="宋体" w:cs="宋体"/>
                <w:szCs w:val="21"/>
              </w:rPr>
              <w:t>4.提供有质量环境职业健康安全月工作检查表。</w:t>
            </w:r>
          </w:p>
          <w:p>
            <w:pPr>
              <w:spacing w:line="360" w:lineRule="auto"/>
              <w:rPr>
                <w:rFonts w:ascii="宋体" w:hAnsi="宋体" w:cs="宋体"/>
                <w:szCs w:val="21"/>
              </w:rPr>
            </w:pPr>
            <w:r>
              <w:rPr>
                <w:rFonts w:hint="eastAsia" w:ascii="宋体" w:hAnsi="宋体" w:cs="宋体"/>
                <w:szCs w:val="21"/>
              </w:rPr>
              <w:t>5.管理人员以及业务员都经过了培训，能力满足要求，无特种作业人员。</w:t>
            </w:r>
          </w:p>
          <w:p>
            <w:pPr>
              <w:spacing w:line="360" w:lineRule="auto"/>
              <w:rPr>
                <w:rFonts w:ascii="宋体" w:hAnsi="宋体" w:cs="宋体"/>
                <w:szCs w:val="21"/>
              </w:rPr>
            </w:pPr>
            <w:r>
              <w:rPr>
                <w:rFonts w:hint="eastAsia" w:ascii="宋体" w:hAnsi="宋体" w:cs="宋体"/>
                <w:szCs w:val="21"/>
              </w:rPr>
              <w:t>6.制定了销售管理制度等，规定了操作的步骤、方法、注意事项等，操作人员直接按要求进行控制，防止人为错误。</w:t>
            </w:r>
          </w:p>
          <w:p>
            <w:pPr>
              <w:spacing w:line="360" w:lineRule="auto"/>
              <w:ind w:right="-6" w:rightChars="-3" w:firstLine="420" w:firstLineChars="200"/>
              <w:rPr>
                <w:rFonts w:ascii="宋体" w:hAnsi="宋体" w:cs="宋体"/>
                <w:kern w:val="0"/>
                <w:szCs w:val="21"/>
              </w:rPr>
            </w:pPr>
            <w:r>
              <w:rPr>
                <w:rFonts w:hint="eastAsia" w:ascii="宋体" w:hAnsi="宋体" w:cs="宋体"/>
                <w:kern w:val="0"/>
                <w:szCs w:val="21"/>
              </w:rPr>
              <w:t>组织销售服务过程的控制符合标准规定的要求。</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宋体" w:hAnsi="宋体" w:cs="宋体"/>
                <w:szCs w:val="21"/>
              </w:rPr>
            </w:pPr>
            <w:r>
              <w:rPr>
                <w:rFonts w:hint="eastAsia" w:ascii="宋体" w:hAnsi="宋体" w:cs="宋体"/>
                <w:szCs w:val="21"/>
              </w:rPr>
              <w:t>顾客或外部供方的财产</w:t>
            </w:r>
          </w:p>
        </w:tc>
        <w:tc>
          <w:tcPr>
            <w:tcW w:w="1311" w:type="dxa"/>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Q8.5.3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公司在管理手册中，规定了对顾客或外部供方财产的管理，明确了对顾客或外部供方财产的登记、验收、保护、使用等相关要求。</w:t>
            </w:r>
          </w:p>
          <w:p>
            <w:pPr>
              <w:spacing w:line="360" w:lineRule="auto"/>
              <w:ind w:firstLine="420" w:firstLineChars="200"/>
              <w:rPr>
                <w:rFonts w:ascii="宋体" w:hAnsi="宋体" w:cs="宋体"/>
                <w:szCs w:val="21"/>
              </w:rPr>
            </w:pPr>
            <w:r>
              <w:rPr>
                <w:rFonts w:hint="eastAsia" w:ascii="宋体" w:hAnsi="宋体" w:cs="宋体"/>
                <w:szCs w:val="21"/>
              </w:rPr>
              <w:t>目前公司无外部供方的财产，涉及的顾客财产为业主方的基础设施、设备等，公司对顾客财产进行登记移交管理，日常加强维护。</w:t>
            </w:r>
          </w:p>
          <w:p>
            <w:pPr>
              <w:tabs>
                <w:tab w:val="left" w:pos="6597"/>
              </w:tabs>
              <w:spacing w:line="360" w:lineRule="auto"/>
              <w:ind w:firstLine="420" w:firstLineChars="200"/>
              <w:rPr>
                <w:rFonts w:ascii="宋体" w:hAnsi="宋体" w:cs="宋体"/>
                <w:szCs w:val="21"/>
              </w:rPr>
            </w:pPr>
            <w:r>
              <w:rPr>
                <w:rFonts w:hint="eastAsia" w:ascii="宋体" w:hAnsi="宋体" w:cs="宋体"/>
                <w:szCs w:val="21"/>
              </w:rPr>
              <w:t>顾客或外部供方的财产管理符合要求。</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09" w:type="dxa"/>
            <w:vAlign w:val="center"/>
          </w:tcPr>
          <w:p>
            <w:pPr>
              <w:spacing w:line="360" w:lineRule="auto"/>
              <w:rPr>
                <w:rFonts w:ascii="宋体" w:hAnsi="宋体" w:cs="宋体"/>
                <w:szCs w:val="21"/>
              </w:rPr>
            </w:pPr>
            <w:r>
              <w:rPr>
                <w:rFonts w:hint="eastAsia" w:ascii="宋体" w:hAnsi="宋体" w:cs="宋体"/>
                <w:szCs w:val="21"/>
              </w:rPr>
              <w:t>交付后活动</w:t>
            </w:r>
          </w:p>
        </w:tc>
        <w:tc>
          <w:tcPr>
            <w:tcW w:w="1311" w:type="dxa"/>
          </w:tcPr>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Q8.5.5 </w:t>
            </w:r>
          </w:p>
        </w:tc>
        <w:tc>
          <w:tcPr>
            <w:tcW w:w="10004" w:type="dxa"/>
          </w:tcPr>
          <w:p>
            <w:pPr>
              <w:pStyle w:val="20"/>
              <w:spacing w:line="360" w:lineRule="auto"/>
              <w:rPr>
                <w:rFonts w:ascii="宋体" w:hAnsi="宋体" w:cs="宋体"/>
                <w:sz w:val="21"/>
                <w:szCs w:val="21"/>
                <w:lang w:eastAsia="zh-CN"/>
              </w:rPr>
            </w:pPr>
            <w:r>
              <w:rPr>
                <w:rFonts w:hint="eastAsia"/>
                <w:sz w:val="21"/>
                <w:szCs w:val="21"/>
                <w:lang w:eastAsia="zh-CN"/>
              </w:rPr>
              <w:t>销售服务和泥浆处理服务过程中或服务完成后，对属于服务质量问题，派专人负责处理，不留隐患，建立顾客满意度回访制度，设专人负责定期对服务质量进行回访，了解客户的要求，发现问题及时解决</w:t>
            </w:r>
            <w:r>
              <w:rPr>
                <w:rFonts w:hint="eastAsia" w:ascii="宋体" w:hAnsi="宋体" w:cs="宋体"/>
                <w:sz w:val="21"/>
                <w:szCs w:val="21"/>
                <w:lang w:eastAsia="zh-CN"/>
              </w:rPr>
              <w:t>。</w:t>
            </w:r>
          </w:p>
          <w:p>
            <w:pPr>
              <w:snapToGrid w:val="0"/>
              <w:spacing w:line="360" w:lineRule="auto"/>
              <w:ind w:firstLine="420" w:firstLineChars="200"/>
              <w:rPr>
                <w:rFonts w:ascii="宋体" w:hAnsi="宋体" w:cs="宋体"/>
                <w:szCs w:val="21"/>
              </w:rPr>
            </w:pPr>
            <w:r>
              <w:rPr>
                <w:rFonts w:hint="eastAsia" w:ascii="宋体" w:hAnsi="宋体" w:cs="宋体"/>
                <w:szCs w:val="21"/>
              </w:rPr>
              <w:t>基本满足要求。</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809" w:type="dxa"/>
            <w:vAlign w:val="center"/>
          </w:tcPr>
          <w:p>
            <w:pPr>
              <w:spacing w:line="360" w:lineRule="auto"/>
              <w:ind w:firstLine="420" w:firstLineChars="200"/>
              <w:rPr>
                <w:rFonts w:ascii="宋体" w:hAnsi="宋体" w:cs="宋体"/>
                <w:szCs w:val="21"/>
              </w:rPr>
            </w:pPr>
            <w:r>
              <w:rPr>
                <w:rFonts w:hint="eastAsia"/>
                <w:szCs w:val="21"/>
              </w:rPr>
              <w:t>顾客满意</w:t>
            </w:r>
          </w:p>
        </w:tc>
        <w:tc>
          <w:tcPr>
            <w:tcW w:w="1311" w:type="dxa"/>
          </w:tcPr>
          <w:p>
            <w:pPr>
              <w:spacing w:line="360" w:lineRule="auto"/>
              <w:rPr>
                <w:rFonts w:ascii="宋体" w:hAnsi="宋体" w:cs="宋体"/>
                <w:szCs w:val="21"/>
              </w:rPr>
            </w:pPr>
          </w:p>
          <w:p>
            <w:pPr>
              <w:spacing w:line="360" w:lineRule="auto"/>
              <w:rPr>
                <w:rFonts w:hint="eastAsia" w:ascii="宋体" w:hAnsi="宋体" w:cs="宋体"/>
                <w:szCs w:val="21"/>
              </w:rPr>
            </w:pPr>
          </w:p>
          <w:p>
            <w:pPr>
              <w:spacing w:line="360" w:lineRule="auto"/>
              <w:rPr>
                <w:rFonts w:ascii="宋体" w:hAnsi="宋体" w:cs="宋体"/>
                <w:szCs w:val="21"/>
              </w:rPr>
            </w:pPr>
            <w:r>
              <w:rPr>
                <w:rFonts w:hint="eastAsia" w:ascii="宋体" w:hAnsi="宋体" w:cs="宋体"/>
                <w:szCs w:val="21"/>
              </w:rPr>
              <w:t xml:space="preserve">Q9.1.2 </w:t>
            </w:r>
          </w:p>
        </w:tc>
        <w:tc>
          <w:tcPr>
            <w:tcW w:w="10004" w:type="dxa"/>
          </w:tcPr>
          <w:p>
            <w:pPr>
              <w:tabs>
                <w:tab w:val="left" w:pos="6597"/>
              </w:tabs>
              <w:spacing w:line="360" w:lineRule="auto"/>
              <w:ind w:firstLine="420" w:firstLineChars="200"/>
              <w:rPr>
                <w:rFonts w:hint="eastAsia" w:ascii="宋体" w:hAnsi="宋体" w:cs="宋体"/>
                <w:szCs w:val="21"/>
              </w:rPr>
            </w:pPr>
            <w:r>
              <w:rPr>
                <w:rFonts w:hint="eastAsia" w:ascii="宋体" w:hAnsi="宋体" w:cs="宋体"/>
                <w:szCs w:val="21"/>
              </w:rPr>
              <w:t>公司通过拜访、电话、电邮、问卷等形式，收集顾客反馈信息，监视顾客满意程度，评价体系的有效性，寻求体系改进的机会。</w:t>
            </w:r>
          </w:p>
          <w:p>
            <w:pPr>
              <w:tabs>
                <w:tab w:val="left" w:pos="6597"/>
              </w:tabs>
              <w:spacing w:line="360" w:lineRule="auto"/>
              <w:ind w:firstLine="420" w:firstLineChars="200"/>
              <w:rPr>
                <w:rFonts w:ascii="宋体" w:hAnsi="宋体" w:cs="宋体"/>
                <w:szCs w:val="21"/>
              </w:rPr>
            </w:pPr>
            <w:r>
              <w:rPr>
                <w:rFonts w:hint="eastAsia" w:ascii="宋体" w:hAnsi="宋体" w:cs="宋体"/>
                <w:szCs w:val="21"/>
              </w:rPr>
              <w:t>提供《顾客满意度调查记录表》3份，调查包含：质量、交货期、服务、价格等指标，满意程度分为很满意</w:t>
            </w:r>
            <w:r>
              <w:rPr>
                <w:rFonts w:ascii="宋体" w:hAnsi="宋体" w:cs="宋体"/>
                <w:szCs w:val="21"/>
              </w:rPr>
              <w:t>---</w:t>
            </w:r>
            <w:r>
              <w:rPr>
                <w:rFonts w:hint="eastAsia" w:ascii="宋体" w:hAnsi="宋体" w:cs="宋体"/>
                <w:szCs w:val="21"/>
              </w:rPr>
              <w:t>不满意等档次。从提供的调查表来看，客户对组织评价均为“很满意”、“满意”。</w:t>
            </w:r>
          </w:p>
          <w:p>
            <w:pPr>
              <w:spacing w:line="360" w:lineRule="auto"/>
              <w:ind w:firstLine="420" w:firstLineChars="200"/>
              <w:rPr>
                <w:rFonts w:ascii="宋体" w:hAnsi="宋体" w:cs="宋体"/>
                <w:szCs w:val="21"/>
              </w:rPr>
            </w:pPr>
            <w:r>
              <w:rPr>
                <w:rFonts w:hint="eastAsia" w:ascii="宋体" w:hAnsi="宋体" w:cs="宋体"/>
                <w:szCs w:val="21"/>
              </w:rPr>
              <w:t>查见</w:t>
            </w:r>
            <w:r>
              <w:rPr>
                <w:rFonts w:ascii="宋体" w:hAnsi="宋体" w:cs="宋体"/>
                <w:szCs w:val="21"/>
              </w:rPr>
              <w:t>20</w:t>
            </w:r>
            <w:r>
              <w:rPr>
                <w:rFonts w:hint="eastAsia" w:ascii="宋体" w:hAnsi="宋体" w:cs="宋体"/>
                <w:szCs w:val="21"/>
              </w:rPr>
              <w:t>2</w:t>
            </w:r>
            <w:r>
              <w:rPr>
                <w:rFonts w:hint="eastAsia" w:ascii="宋体" w:hAnsi="宋体" w:cs="宋体"/>
                <w:szCs w:val="21"/>
                <w:lang w:val="en-US" w:eastAsia="zh-CN"/>
              </w:rPr>
              <w:t>1</w:t>
            </w:r>
            <w:r>
              <w:rPr>
                <w:rFonts w:ascii="宋体" w:hAnsi="宋体" w:cs="宋体"/>
                <w:szCs w:val="21"/>
              </w:rPr>
              <w:t>.</w:t>
            </w:r>
            <w:r>
              <w:rPr>
                <w:rFonts w:hint="default" w:ascii="宋体" w:hAnsi="宋体" w:cs="宋体"/>
                <w:szCs w:val="21"/>
              </w:rPr>
              <w:t>5</w:t>
            </w:r>
            <w:r>
              <w:rPr>
                <w:rFonts w:ascii="宋体" w:hAnsi="宋体" w:cs="宋体"/>
                <w:szCs w:val="21"/>
              </w:rPr>
              <w:t>.5</w:t>
            </w:r>
            <w:r>
              <w:rPr>
                <w:rFonts w:hint="eastAsia" w:ascii="宋体" w:hAnsi="宋体" w:cs="宋体"/>
                <w:szCs w:val="21"/>
              </w:rPr>
              <w:t>日的《顾客满意度调查分析》，对顾客满意度指标完成情况、顾客建议改进方向等予以分析汇总，经评价测算客户满意度得分</w:t>
            </w:r>
            <w:r>
              <w:rPr>
                <w:rFonts w:ascii="宋体" w:hAnsi="宋体" w:cs="宋体"/>
                <w:szCs w:val="21"/>
              </w:rPr>
              <w:t>98%</w:t>
            </w:r>
            <w:r>
              <w:rPr>
                <w:rFonts w:hint="eastAsia" w:ascii="宋体" w:hAnsi="宋体" w:cs="宋体"/>
                <w:szCs w:val="21"/>
              </w:rPr>
              <w:t>。</w:t>
            </w:r>
          </w:p>
          <w:p>
            <w:pPr>
              <w:tabs>
                <w:tab w:val="left" w:pos="6597"/>
              </w:tabs>
              <w:spacing w:line="360" w:lineRule="auto"/>
              <w:ind w:firstLine="420" w:firstLineChars="200"/>
              <w:rPr>
                <w:rFonts w:ascii="宋体" w:hAnsi="宋体" w:cs="宋体"/>
                <w:szCs w:val="21"/>
              </w:rPr>
            </w:pPr>
            <w:r>
              <w:rPr>
                <w:rFonts w:hint="eastAsia" w:ascii="宋体" w:hAnsi="宋体" w:cs="宋体"/>
                <w:szCs w:val="21"/>
              </w:rPr>
              <w:t>企业对顾客满意度的调查、分析利用进行了策划并实施，基本符合标准条款的要求。</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809" w:type="dxa"/>
            <w:vAlign w:val="center"/>
          </w:tcPr>
          <w:p>
            <w:pPr>
              <w:spacing w:line="360" w:lineRule="auto"/>
              <w:rPr>
                <w:rFonts w:ascii="宋体" w:hAnsi="宋体" w:cs="宋体"/>
                <w:szCs w:val="21"/>
              </w:rPr>
            </w:pPr>
            <w:r>
              <w:rPr>
                <w:rFonts w:hint="eastAsia" w:ascii="宋体" w:hAnsi="宋体" w:cs="宋体"/>
                <w:szCs w:val="21"/>
              </w:rPr>
              <w:t>环境因素、危险源辨识与评价</w:t>
            </w:r>
          </w:p>
        </w:tc>
        <w:tc>
          <w:tcPr>
            <w:tcW w:w="1311" w:type="dxa"/>
            <w:vAlign w:val="center"/>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EO6.1.2 </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tc>
        <w:tc>
          <w:tcPr>
            <w:tcW w:w="10004" w:type="dxa"/>
            <w:vAlign w:val="center"/>
          </w:tcPr>
          <w:p>
            <w:pPr>
              <w:snapToGrid w:val="0"/>
              <w:spacing w:line="360" w:lineRule="auto"/>
              <w:ind w:firstLine="480"/>
              <w:rPr>
                <w:rFonts w:ascii="宋体" w:hAnsi="宋体" w:cs="宋体"/>
                <w:szCs w:val="21"/>
              </w:rPr>
            </w:pPr>
            <w:r>
              <w:rPr>
                <w:rFonts w:hint="eastAsia" w:ascii="宋体" w:hAnsi="宋体" w:cs="宋体"/>
                <w:szCs w:val="21"/>
              </w:rPr>
              <w:t>供销部按照《环境因素识别与评价控制程序》、《危险源辩识风险评价控制程序》对办公过程和销售过程的环境因素、危险源进行了辨识，辨识时考虑了三种时态：过去、现在和将来，和三种状态：正常、异常和紧急。</w:t>
            </w:r>
          </w:p>
          <w:p>
            <w:pPr>
              <w:spacing w:line="360" w:lineRule="auto"/>
              <w:ind w:firstLine="420" w:firstLineChars="200"/>
              <w:rPr>
                <w:rFonts w:ascii="宋体" w:hAnsi="宋体" w:cs="宋体"/>
                <w:szCs w:val="21"/>
              </w:rPr>
            </w:pPr>
            <w:r>
              <w:rPr>
                <w:rFonts w:hint="eastAsia" w:ascii="宋体" w:hAnsi="宋体" w:cs="宋体"/>
                <w:szCs w:val="21"/>
              </w:rPr>
              <w:t>查“环境因素识别及评价表”，识别了供销部在办公、采购、销售、相关方等各有关过程的环境因素，包括复印机废墨盒、生活垃圾排放、水电消耗、废水排放、电脑辐射、车辆噪声、尾气排放等环境因素，识别时能考虑产品生命周期观点。</w:t>
            </w:r>
          </w:p>
          <w:p>
            <w:pPr>
              <w:spacing w:line="360" w:lineRule="auto"/>
              <w:ind w:firstLine="420" w:firstLineChars="200"/>
              <w:rPr>
                <w:rFonts w:ascii="宋体" w:hAnsi="宋体" w:cs="宋体"/>
                <w:szCs w:val="21"/>
              </w:rPr>
            </w:pPr>
            <w:r>
              <w:rPr>
                <w:rFonts w:hint="eastAsia" w:ascii="宋体" w:hAnsi="宋体" w:cs="宋体"/>
                <w:szCs w:val="21"/>
              </w:rPr>
              <w:t>查《重要环境因素清单》，涉及供销部有2项重要环境因素，包括：火灾、固体废弃物的排放。</w:t>
            </w:r>
          </w:p>
          <w:p>
            <w:pPr>
              <w:spacing w:line="360" w:lineRule="auto"/>
              <w:ind w:firstLine="420" w:firstLineChars="200"/>
              <w:rPr>
                <w:rFonts w:ascii="宋体" w:hAnsi="宋体" w:cs="宋体"/>
                <w:szCs w:val="21"/>
              </w:rPr>
            </w:pPr>
            <w:r>
              <w:rPr>
                <w:rFonts w:hint="eastAsia" w:ascii="宋体" w:hAnsi="宋体" w:cs="宋体"/>
                <w:szCs w:val="21"/>
              </w:rPr>
              <w:t>控制措施：固废分类存放、垃圾等由行政部负责按规定处置，包装物分类卖掉，日常检查、培训教育，配备有消防器材、进行应急演练等措施。</w:t>
            </w:r>
          </w:p>
          <w:p>
            <w:pPr>
              <w:snapToGrid w:val="0"/>
              <w:spacing w:line="360" w:lineRule="auto"/>
              <w:rPr>
                <w:rFonts w:ascii="宋体" w:hAnsi="宋体" w:cs="宋体"/>
                <w:szCs w:val="21"/>
              </w:rPr>
            </w:pPr>
            <w:r>
              <w:rPr>
                <w:rFonts w:hint="eastAsia" w:ascii="宋体" w:hAnsi="宋体" w:cs="宋体"/>
                <w:szCs w:val="21"/>
              </w:rPr>
              <w:t xml:space="preserve">    查“危险源辨识及风险评价表”，识别了电脑辐射、复印机废气、吸烟、接线混乱、汽车事故、设备漏电、火灾等危险源。</w:t>
            </w:r>
          </w:p>
          <w:p>
            <w:pPr>
              <w:spacing w:line="360" w:lineRule="auto"/>
              <w:ind w:firstLine="468"/>
              <w:rPr>
                <w:rFonts w:ascii="宋体" w:hAnsi="宋体" w:cs="宋体"/>
                <w:szCs w:val="21"/>
              </w:rPr>
            </w:pPr>
            <w:r>
              <w:rPr>
                <w:rFonts w:hint="eastAsia" w:ascii="宋体" w:hAnsi="宋体" w:cs="宋体"/>
                <w:szCs w:val="21"/>
              </w:rPr>
              <w:t>查《不可接受风险清单》，涉及本部门的有3个不可接受风险，包括：触电、火灾、人身伤害等。</w:t>
            </w:r>
          </w:p>
          <w:p>
            <w:pPr>
              <w:spacing w:line="360" w:lineRule="auto"/>
              <w:ind w:firstLine="468"/>
              <w:rPr>
                <w:rFonts w:ascii="宋体" w:hAnsi="宋体" w:cs="宋体"/>
                <w:szCs w:val="21"/>
              </w:rPr>
            </w:pPr>
            <w:r>
              <w:rPr>
                <w:rFonts w:hint="eastAsia" w:ascii="宋体" w:hAnsi="宋体" w:cs="宋体"/>
                <w:szCs w:val="21"/>
              </w:rPr>
              <w:t>控制措施：危险源控制执行管理方案、配备消防器材、个体防护、日常检查、培训教育、应急预案等运行控制措施。</w:t>
            </w:r>
          </w:p>
          <w:p>
            <w:pPr>
              <w:spacing w:line="360" w:lineRule="auto"/>
              <w:ind w:firstLine="315" w:firstLineChars="150"/>
              <w:rPr>
                <w:rFonts w:ascii="宋体" w:hAnsi="宋体" w:cs="宋体"/>
                <w:szCs w:val="21"/>
              </w:rPr>
            </w:pPr>
            <w:r>
              <w:rPr>
                <w:rFonts w:hint="eastAsia" w:ascii="宋体" w:hAnsi="宋体" w:cs="宋体"/>
                <w:szCs w:val="21"/>
              </w:rPr>
              <w:t xml:space="preserve"> 部门识别和评价基本充分，符合规定要求，运行控制参见EO8.1审核记录。</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1809" w:type="dxa"/>
            <w:vAlign w:val="center"/>
          </w:tcPr>
          <w:p>
            <w:pPr>
              <w:spacing w:line="360" w:lineRule="auto"/>
              <w:rPr>
                <w:rFonts w:ascii="宋体" w:hAnsi="宋体" w:cs="宋体"/>
                <w:szCs w:val="21"/>
              </w:rPr>
            </w:pPr>
            <w:r>
              <w:rPr>
                <w:rFonts w:hint="eastAsia" w:ascii="宋体" w:hAnsi="宋体" w:cs="宋体"/>
                <w:szCs w:val="21"/>
              </w:rPr>
              <w:t>运行策划和控制</w:t>
            </w:r>
          </w:p>
        </w:tc>
        <w:tc>
          <w:tcPr>
            <w:tcW w:w="1311" w:type="dxa"/>
            <w:vAlign w:val="center"/>
          </w:tcPr>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210" w:firstLineChars="100"/>
              <w:rPr>
                <w:rFonts w:ascii="宋体" w:hAnsi="宋体" w:cs="宋体"/>
                <w:szCs w:val="21"/>
              </w:rPr>
            </w:pPr>
            <w:r>
              <w:rPr>
                <w:rFonts w:hint="eastAsia" w:ascii="宋体" w:hAnsi="宋体" w:cs="宋体"/>
                <w:szCs w:val="21"/>
              </w:rPr>
              <w:t xml:space="preserve">EO：8.1 </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tc>
        <w:tc>
          <w:tcPr>
            <w:tcW w:w="10004" w:type="dxa"/>
            <w:vAlign w:val="center"/>
          </w:tcPr>
          <w:p>
            <w:pPr>
              <w:spacing w:line="360" w:lineRule="auto"/>
              <w:rPr>
                <w:rFonts w:ascii="宋体" w:hAnsi="宋体" w:cs="宋体"/>
                <w:szCs w:val="21"/>
              </w:rPr>
            </w:pPr>
            <w:r>
              <w:rPr>
                <w:rFonts w:hint="eastAsia" w:ascii="宋体" w:hAnsi="宋体" w:cs="宋体"/>
                <w:szCs w:val="21"/>
              </w:rPr>
              <w:t>1.编制并实施《固体废弃物控制程序》、《能源资源管理程序》、《运行控制程序》、《相关方管理程序》、《消防安全管理程序》、《环境保护管理规定》、《安全用电管理制度》、《物资仓库管理规定》等环境、职业健康安全控制程序和管理制度。</w:t>
            </w:r>
          </w:p>
          <w:p>
            <w:pPr>
              <w:spacing w:line="360" w:lineRule="auto"/>
              <w:rPr>
                <w:rFonts w:ascii="宋体" w:hAnsi="宋体" w:cs="宋体"/>
                <w:szCs w:val="21"/>
              </w:rPr>
            </w:pPr>
            <w:r>
              <w:rPr>
                <w:rFonts w:hint="eastAsia" w:ascii="宋体" w:hAnsi="宋体" w:cs="宋体"/>
                <w:szCs w:val="21"/>
              </w:rPr>
              <w:t>2.公司通过各地招标或业务洽谈进行业务开展，流程是招投标/业务洽谈→合同评审→研发→采购→检验→交付。</w:t>
            </w:r>
          </w:p>
          <w:p>
            <w:pPr>
              <w:spacing w:line="360" w:lineRule="auto"/>
              <w:rPr>
                <w:rFonts w:ascii="宋体" w:hAnsi="宋体" w:cs="宋体"/>
                <w:szCs w:val="21"/>
              </w:rPr>
            </w:pPr>
            <w:r>
              <w:rPr>
                <w:rFonts w:hint="eastAsia" w:ascii="宋体" w:hAnsi="宋体" w:cs="宋体"/>
                <w:szCs w:val="21"/>
              </w:rPr>
              <w:t>3.本部门办公中所产生的废弃物，由行政部统一处理。</w:t>
            </w:r>
          </w:p>
          <w:p>
            <w:pPr>
              <w:snapToGrid w:val="0"/>
              <w:spacing w:line="360" w:lineRule="auto"/>
              <w:rPr>
                <w:rFonts w:ascii="宋体" w:hAnsi="宋体" w:cs="宋体"/>
                <w:szCs w:val="21"/>
              </w:rPr>
            </w:pPr>
            <w:r>
              <w:rPr>
                <w:rFonts w:hint="eastAsia" w:ascii="宋体" w:hAnsi="宋体" w:cs="宋体"/>
                <w:szCs w:val="21"/>
              </w:rPr>
              <w:t>4.对可回收的固体废弃物，一部分由厂家回收，厂家不回收的公司统一回收再利用或由物资回收公司处理，不可回收的废弃物由公司行政部统一处理，部门不单独处理。</w:t>
            </w:r>
          </w:p>
          <w:p>
            <w:pPr>
              <w:snapToGrid w:val="0"/>
              <w:spacing w:line="360" w:lineRule="auto"/>
              <w:rPr>
                <w:rFonts w:ascii="宋体" w:hAnsi="宋体" w:cs="宋体"/>
                <w:szCs w:val="21"/>
              </w:rPr>
            </w:pPr>
            <w:r>
              <w:rPr>
                <w:rFonts w:hint="eastAsia" w:ascii="宋体" w:hAnsi="宋体" w:cs="宋体"/>
                <w:szCs w:val="21"/>
              </w:rPr>
              <w:t>5.办公室内主要是电的使用，电器有漏电保护器，经常对电路、电源进行检查，没有露电现象发生。</w:t>
            </w:r>
          </w:p>
          <w:p>
            <w:pPr>
              <w:snapToGrid w:val="0"/>
              <w:spacing w:line="360" w:lineRule="auto"/>
              <w:rPr>
                <w:rFonts w:hint="default" w:ascii="宋体" w:hAnsi="宋体" w:cs="宋体"/>
                <w:szCs w:val="21"/>
              </w:rPr>
            </w:pPr>
            <w:r>
              <w:rPr>
                <w:rFonts w:hint="eastAsia" w:ascii="宋体" w:hAnsi="宋体" w:cs="宋体"/>
                <w:szCs w:val="21"/>
              </w:rPr>
              <w:t>6.供销部向黑龙江省万意达工程有限公司、广东江信电子科技有限公司、北京八方泵业机械有限公司等相关方发放《相关方告知书》</w:t>
            </w:r>
            <w:r>
              <w:rPr>
                <w:rFonts w:hint="default" w:ascii="宋体" w:hAnsi="宋体" w:cs="宋体"/>
                <w:szCs w:val="21"/>
              </w:rPr>
              <w:t>。</w:t>
            </w:r>
          </w:p>
          <w:p>
            <w:pPr>
              <w:snapToGrid w:val="0"/>
              <w:spacing w:line="360" w:lineRule="auto"/>
              <w:rPr>
                <w:rFonts w:ascii="宋体" w:hAnsi="宋体" w:cs="宋体"/>
                <w:szCs w:val="21"/>
              </w:rPr>
            </w:pPr>
            <w:r>
              <w:rPr>
                <w:rFonts w:hint="default" w:ascii="宋体" w:hAnsi="宋体" w:cs="宋体"/>
                <w:szCs w:val="21"/>
              </w:rPr>
              <w:t>7</w:t>
            </w:r>
            <w:r>
              <w:rPr>
                <w:rFonts w:hint="eastAsia" w:ascii="宋体" w:hAnsi="宋体" w:cs="宋体"/>
                <w:szCs w:val="21"/>
              </w:rPr>
              <w:t>.对供应商施加影响还包括在评定供应商时，获取质量、环境、职业健康安全管理体系证书则优先。</w:t>
            </w:r>
          </w:p>
          <w:p>
            <w:pPr>
              <w:snapToGrid w:val="0"/>
              <w:spacing w:line="360" w:lineRule="auto"/>
              <w:rPr>
                <w:rFonts w:ascii="宋体" w:hAnsi="宋体" w:cs="宋体"/>
                <w:szCs w:val="21"/>
              </w:rPr>
            </w:pPr>
            <w:r>
              <w:rPr>
                <w:rFonts w:hint="default" w:ascii="宋体" w:hAnsi="宋体" w:cs="宋体"/>
                <w:szCs w:val="21"/>
              </w:rPr>
              <w:t>8</w:t>
            </w:r>
            <w:r>
              <w:rPr>
                <w:rFonts w:hint="eastAsia" w:ascii="宋体" w:hAnsi="宋体" w:cs="宋体"/>
                <w:szCs w:val="21"/>
              </w:rPr>
              <w:t>.仓库现场：产品定位摆放，基本整齐，高度合适，地面干净，通道能保持畅通，有标识牌，未发现不良状况。</w:t>
            </w:r>
          </w:p>
          <w:p>
            <w:pPr>
              <w:spacing w:line="360" w:lineRule="auto"/>
              <w:ind w:firstLine="420" w:firstLineChars="200"/>
              <w:rPr>
                <w:rFonts w:ascii="宋体" w:hAnsi="宋体" w:cs="宋体"/>
                <w:szCs w:val="21"/>
              </w:rPr>
            </w:pPr>
            <w:r>
              <w:rPr>
                <w:rFonts w:hint="eastAsia" w:ascii="宋体" w:hAnsi="宋体" w:cs="宋体"/>
                <w:szCs w:val="21"/>
              </w:rPr>
              <w:t>部门运行控制在相关方管理方面还需加强控制。</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应急准备和响应</w:t>
            </w:r>
          </w:p>
        </w:tc>
        <w:tc>
          <w:tcPr>
            <w:tcW w:w="1311" w:type="dxa"/>
            <w:vAlign w:val="center"/>
          </w:tcPr>
          <w:p>
            <w:pPr>
              <w:tabs>
                <w:tab w:val="left" w:pos="218"/>
              </w:tabs>
              <w:spacing w:line="360" w:lineRule="auto"/>
              <w:rPr>
                <w:rFonts w:ascii="宋体" w:hAnsi="宋体" w:cs="宋体"/>
                <w:szCs w:val="21"/>
              </w:rPr>
            </w:pPr>
            <w:r>
              <w:rPr>
                <w:rFonts w:hint="eastAsia" w:ascii="宋体" w:hAnsi="宋体" w:cs="宋体"/>
                <w:szCs w:val="21"/>
              </w:rPr>
              <w:t xml:space="preserve">EO8.2 </w:t>
            </w:r>
          </w:p>
        </w:tc>
        <w:tc>
          <w:tcPr>
            <w:tcW w:w="10004" w:type="dxa"/>
          </w:tcPr>
          <w:p>
            <w:pPr>
              <w:spacing w:line="360" w:lineRule="auto"/>
              <w:rPr>
                <w:rFonts w:ascii="宋体" w:hAnsi="宋体" w:cs="宋体"/>
                <w:szCs w:val="21"/>
              </w:rPr>
            </w:pPr>
            <w:r>
              <w:rPr>
                <w:rFonts w:hint="eastAsia" w:ascii="宋体" w:hAnsi="宋体" w:cs="宋体"/>
                <w:szCs w:val="21"/>
              </w:rPr>
              <w:t xml:space="preserve">    制定实施了《应急准备和响应控制程序》，制定了火灾、触电、人员伤亡等应急预案。内容包括：目的、适用范围、职责、应急处理细则、演习、必备资料等。</w:t>
            </w:r>
          </w:p>
          <w:p>
            <w:pPr>
              <w:spacing w:line="360" w:lineRule="auto"/>
              <w:ind w:firstLine="315" w:firstLineChars="150"/>
              <w:rPr>
                <w:rFonts w:ascii="宋体" w:hAnsi="宋体" w:cs="宋体"/>
                <w:szCs w:val="21"/>
              </w:rPr>
            </w:pPr>
            <w:bookmarkStart w:id="0" w:name="_GoBack"/>
            <w:r>
              <w:rPr>
                <w:rFonts w:hint="eastAsia" w:ascii="宋体" w:hAnsi="宋体" w:cs="宋体"/>
                <w:color w:val="000000" w:themeColor="text1"/>
                <w:szCs w:val="21"/>
              </w:rPr>
              <w:t>202</w:t>
            </w:r>
            <w:r>
              <w:rPr>
                <w:rFonts w:hint="default" w:ascii="宋体" w:hAnsi="宋体" w:cs="宋体"/>
                <w:color w:val="000000" w:themeColor="text1"/>
                <w:szCs w:val="21"/>
              </w:rPr>
              <w:t>1</w:t>
            </w:r>
            <w:r>
              <w:rPr>
                <w:rFonts w:hint="eastAsia" w:ascii="宋体" w:hAnsi="宋体" w:cs="宋体"/>
                <w:color w:val="000000" w:themeColor="text1"/>
                <w:szCs w:val="21"/>
              </w:rPr>
              <w:t>.</w:t>
            </w:r>
            <w:r>
              <w:rPr>
                <w:rFonts w:hint="default" w:ascii="宋体" w:hAnsi="宋体" w:cs="宋体"/>
                <w:color w:val="000000" w:themeColor="text1"/>
                <w:szCs w:val="21"/>
              </w:rPr>
              <w:t>5</w:t>
            </w:r>
            <w:r>
              <w:rPr>
                <w:rFonts w:hint="eastAsia" w:ascii="宋体" w:hAnsi="宋体" w:cs="宋体"/>
                <w:color w:val="000000" w:themeColor="text1"/>
                <w:szCs w:val="21"/>
              </w:rPr>
              <w:t>.16日</w:t>
            </w:r>
            <w:r>
              <w:rPr>
                <w:rFonts w:hint="eastAsia" w:ascii="宋体" w:hAnsi="宋体" w:cs="宋体"/>
                <w:szCs w:val="21"/>
              </w:rPr>
              <w:t>参加了由</w:t>
            </w:r>
            <w:r>
              <w:rPr>
                <w:rFonts w:hint="default" w:ascii="宋体" w:hAnsi="宋体" w:cs="宋体"/>
                <w:szCs w:val="21"/>
              </w:rPr>
              <w:t>园区</w:t>
            </w:r>
            <w:r>
              <w:rPr>
                <w:rFonts w:hint="eastAsia" w:ascii="宋体" w:hAnsi="宋体" w:cs="宋体"/>
                <w:szCs w:val="21"/>
              </w:rPr>
              <w:t>组织的消防演练。</w:t>
            </w:r>
          </w:p>
          <w:bookmarkEnd w:id="0"/>
          <w:p>
            <w:pPr>
              <w:spacing w:line="360" w:lineRule="auto"/>
              <w:ind w:firstLine="315" w:firstLineChars="150"/>
              <w:rPr>
                <w:rFonts w:ascii="宋体" w:hAnsi="宋体" w:cs="宋体"/>
                <w:szCs w:val="21"/>
              </w:rPr>
            </w:pPr>
            <w:r>
              <w:rPr>
                <w:rFonts w:hint="eastAsia" w:ascii="宋体" w:hAnsi="宋体" w:cs="宋体"/>
                <w:szCs w:val="21"/>
              </w:rPr>
              <w:t>查看供销部办公区和仓库配备了消防器材，状态良好。</w:t>
            </w:r>
          </w:p>
        </w:tc>
        <w:tc>
          <w:tcPr>
            <w:tcW w:w="1585" w:type="dxa"/>
          </w:tcPr>
          <w:p>
            <w:pPr>
              <w:spacing w:line="360" w:lineRule="auto"/>
              <w:rPr>
                <w:rFonts w:ascii="楷体" w:hAnsi="楷体" w:eastAsia="楷体"/>
                <w:sz w:val="24"/>
                <w:szCs w:val="24"/>
              </w:rPr>
            </w:pPr>
            <w:r>
              <w:rPr>
                <w:rFonts w:hint="eastAsia" w:ascii="宋体" w:hAnsi="宋体" w:eastAsia="宋体" w:cs="宋体"/>
                <w:sz w:val="21"/>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809" w:type="dxa"/>
          </w:tcPr>
          <w:p>
            <w:pPr>
              <w:spacing w:line="360" w:lineRule="auto"/>
              <w:rPr>
                <w:rFonts w:ascii="楷体" w:hAnsi="楷体" w:eastAsia="楷体" w:cs="Arial"/>
                <w:sz w:val="24"/>
                <w:szCs w:val="24"/>
              </w:rPr>
            </w:pPr>
          </w:p>
        </w:tc>
        <w:tc>
          <w:tcPr>
            <w:tcW w:w="1311" w:type="dxa"/>
            <w:vAlign w:val="center"/>
          </w:tcPr>
          <w:p>
            <w:pPr>
              <w:tabs>
                <w:tab w:val="left" w:pos="218"/>
              </w:tabs>
              <w:spacing w:line="360" w:lineRule="auto"/>
              <w:rPr>
                <w:rFonts w:ascii="楷体" w:hAnsi="楷体" w:eastAsia="楷体" w:cs="楷体"/>
                <w:sz w:val="24"/>
                <w:szCs w:val="24"/>
              </w:rPr>
            </w:pPr>
          </w:p>
        </w:tc>
        <w:tc>
          <w:tcPr>
            <w:tcW w:w="10004" w:type="dxa"/>
          </w:tcPr>
          <w:p>
            <w:pPr>
              <w:spacing w:line="360" w:lineRule="auto"/>
              <w:rPr>
                <w:rFonts w:ascii="楷体" w:hAnsi="楷体" w:eastAsia="楷体" w:cs="楷体"/>
                <w:sz w:val="24"/>
                <w:szCs w:val="24"/>
              </w:rPr>
            </w:pPr>
          </w:p>
        </w:tc>
        <w:tc>
          <w:tcPr>
            <w:tcW w:w="1585" w:type="dxa"/>
          </w:tcPr>
          <w:p>
            <w:pPr>
              <w:spacing w:line="360" w:lineRule="auto"/>
              <w:rPr>
                <w:rFonts w:ascii="楷体" w:hAnsi="楷体" w:eastAsia="楷体"/>
                <w:sz w:val="24"/>
                <w:szCs w:val="24"/>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5"/>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none" w:color="auto" w:sz="0" w:space="1"/>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 管理体系审核记录表(03版)</w:t>
                </w:r>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334"/>
    <w:rsid w:val="00004597"/>
    <w:rsid w:val="00004817"/>
    <w:rsid w:val="000056B2"/>
    <w:rsid w:val="000056B6"/>
    <w:rsid w:val="00005AA6"/>
    <w:rsid w:val="000214B6"/>
    <w:rsid w:val="0002505F"/>
    <w:rsid w:val="0002531E"/>
    <w:rsid w:val="00027F3C"/>
    <w:rsid w:val="00030E4E"/>
    <w:rsid w:val="0003373A"/>
    <w:rsid w:val="000412F6"/>
    <w:rsid w:val="000429AB"/>
    <w:rsid w:val="00045270"/>
    <w:rsid w:val="0004642B"/>
    <w:rsid w:val="00047E49"/>
    <w:rsid w:val="0005199E"/>
    <w:rsid w:val="0005697E"/>
    <w:rsid w:val="000579CF"/>
    <w:rsid w:val="00072B81"/>
    <w:rsid w:val="00076A2D"/>
    <w:rsid w:val="00076CD3"/>
    <w:rsid w:val="0007745F"/>
    <w:rsid w:val="0008033E"/>
    <w:rsid w:val="00082216"/>
    <w:rsid w:val="00082398"/>
    <w:rsid w:val="000828F8"/>
    <w:rsid w:val="000849D2"/>
    <w:rsid w:val="0008553A"/>
    <w:rsid w:val="00085D74"/>
    <w:rsid w:val="00092ADD"/>
    <w:rsid w:val="000955FA"/>
    <w:rsid w:val="000A519B"/>
    <w:rsid w:val="000A5B21"/>
    <w:rsid w:val="000A5E44"/>
    <w:rsid w:val="000A7044"/>
    <w:rsid w:val="000B0541"/>
    <w:rsid w:val="000B1394"/>
    <w:rsid w:val="000B2E9C"/>
    <w:rsid w:val="000B40BD"/>
    <w:rsid w:val="000C123B"/>
    <w:rsid w:val="000C408E"/>
    <w:rsid w:val="000C47D1"/>
    <w:rsid w:val="000D5401"/>
    <w:rsid w:val="000D5976"/>
    <w:rsid w:val="000D697A"/>
    <w:rsid w:val="000D7F6A"/>
    <w:rsid w:val="000E2B69"/>
    <w:rsid w:val="000E2FCD"/>
    <w:rsid w:val="000E7848"/>
    <w:rsid w:val="000E7EF7"/>
    <w:rsid w:val="000F08E7"/>
    <w:rsid w:val="000F35F1"/>
    <w:rsid w:val="000F7D53"/>
    <w:rsid w:val="00101120"/>
    <w:rsid w:val="00101F08"/>
    <w:rsid w:val="001022F1"/>
    <w:rsid w:val="001037D5"/>
    <w:rsid w:val="00112B5B"/>
    <w:rsid w:val="00112EBF"/>
    <w:rsid w:val="0011769E"/>
    <w:rsid w:val="00117BB9"/>
    <w:rsid w:val="001245D9"/>
    <w:rsid w:val="001446FB"/>
    <w:rsid w:val="00145688"/>
    <w:rsid w:val="00146C22"/>
    <w:rsid w:val="00150852"/>
    <w:rsid w:val="0015334D"/>
    <w:rsid w:val="001545EF"/>
    <w:rsid w:val="001546A1"/>
    <w:rsid w:val="001601DD"/>
    <w:rsid w:val="0016042F"/>
    <w:rsid w:val="00161106"/>
    <w:rsid w:val="001677C1"/>
    <w:rsid w:val="001737D0"/>
    <w:rsid w:val="00173851"/>
    <w:rsid w:val="00173DEB"/>
    <w:rsid w:val="001779ED"/>
    <w:rsid w:val="00180D2D"/>
    <w:rsid w:val="0018301A"/>
    <w:rsid w:val="001904A8"/>
    <w:rsid w:val="001918ED"/>
    <w:rsid w:val="00192313"/>
    <w:rsid w:val="00192A7F"/>
    <w:rsid w:val="00197F57"/>
    <w:rsid w:val="001A2536"/>
    <w:rsid w:val="001A2D7F"/>
    <w:rsid w:val="001A3DF8"/>
    <w:rsid w:val="001A572D"/>
    <w:rsid w:val="001A6ED9"/>
    <w:rsid w:val="001B718E"/>
    <w:rsid w:val="001C5AD2"/>
    <w:rsid w:val="001C6EDC"/>
    <w:rsid w:val="001C724A"/>
    <w:rsid w:val="001C74CE"/>
    <w:rsid w:val="001D2776"/>
    <w:rsid w:val="001D318E"/>
    <w:rsid w:val="001D4AB3"/>
    <w:rsid w:val="001D4AD8"/>
    <w:rsid w:val="001D54FF"/>
    <w:rsid w:val="001D65A1"/>
    <w:rsid w:val="001E1631"/>
    <w:rsid w:val="001E1974"/>
    <w:rsid w:val="001E6FD5"/>
    <w:rsid w:val="001E7B28"/>
    <w:rsid w:val="001F6E53"/>
    <w:rsid w:val="00201D8C"/>
    <w:rsid w:val="00202BC2"/>
    <w:rsid w:val="002122D7"/>
    <w:rsid w:val="00214113"/>
    <w:rsid w:val="00215081"/>
    <w:rsid w:val="00215B15"/>
    <w:rsid w:val="00222532"/>
    <w:rsid w:val="00222BDA"/>
    <w:rsid w:val="00223EED"/>
    <w:rsid w:val="002250F7"/>
    <w:rsid w:val="0023038C"/>
    <w:rsid w:val="002314A9"/>
    <w:rsid w:val="00237445"/>
    <w:rsid w:val="00237625"/>
    <w:rsid w:val="0024000F"/>
    <w:rsid w:val="00242C77"/>
    <w:rsid w:val="002451B5"/>
    <w:rsid w:val="00247AD6"/>
    <w:rsid w:val="00250E2E"/>
    <w:rsid w:val="002513BC"/>
    <w:rsid w:val="002518FD"/>
    <w:rsid w:val="00252A48"/>
    <w:rsid w:val="0026246B"/>
    <w:rsid w:val="00263982"/>
    <w:rsid w:val="0026497A"/>
    <w:rsid w:val="00264A93"/>
    <w:rsid w:val="002651A6"/>
    <w:rsid w:val="00267E42"/>
    <w:rsid w:val="00281EB5"/>
    <w:rsid w:val="002840AC"/>
    <w:rsid w:val="0029065E"/>
    <w:rsid w:val="00290C8D"/>
    <w:rsid w:val="00290FC2"/>
    <w:rsid w:val="00293973"/>
    <w:rsid w:val="00293DE6"/>
    <w:rsid w:val="002973F0"/>
    <w:rsid w:val="002975C1"/>
    <w:rsid w:val="002A0E6E"/>
    <w:rsid w:val="002A20BA"/>
    <w:rsid w:val="002A2529"/>
    <w:rsid w:val="002A33CC"/>
    <w:rsid w:val="002A34DD"/>
    <w:rsid w:val="002A397E"/>
    <w:rsid w:val="002A6354"/>
    <w:rsid w:val="002B01C2"/>
    <w:rsid w:val="002B14DB"/>
    <w:rsid w:val="002B1808"/>
    <w:rsid w:val="002B7910"/>
    <w:rsid w:val="002C1ACE"/>
    <w:rsid w:val="002C1AF9"/>
    <w:rsid w:val="002C3E0D"/>
    <w:rsid w:val="002C47E9"/>
    <w:rsid w:val="002D41FB"/>
    <w:rsid w:val="002E01F5"/>
    <w:rsid w:val="002E0587"/>
    <w:rsid w:val="002E1E1D"/>
    <w:rsid w:val="002F05FA"/>
    <w:rsid w:val="002F307B"/>
    <w:rsid w:val="002F6B71"/>
    <w:rsid w:val="00301256"/>
    <w:rsid w:val="003075BF"/>
    <w:rsid w:val="00310456"/>
    <w:rsid w:val="00312608"/>
    <w:rsid w:val="00317401"/>
    <w:rsid w:val="00321ADB"/>
    <w:rsid w:val="0032358B"/>
    <w:rsid w:val="00325648"/>
    <w:rsid w:val="00326FC1"/>
    <w:rsid w:val="00330144"/>
    <w:rsid w:val="00330405"/>
    <w:rsid w:val="0033189B"/>
    <w:rsid w:val="00331EC6"/>
    <w:rsid w:val="00336052"/>
    <w:rsid w:val="00337922"/>
    <w:rsid w:val="00340867"/>
    <w:rsid w:val="00340CC4"/>
    <w:rsid w:val="00342857"/>
    <w:rsid w:val="00342E9F"/>
    <w:rsid w:val="00343209"/>
    <w:rsid w:val="00351CEE"/>
    <w:rsid w:val="003524D2"/>
    <w:rsid w:val="00360739"/>
    <w:rsid w:val="003608CB"/>
    <w:rsid w:val="00362501"/>
    <w:rsid w:val="003627B6"/>
    <w:rsid w:val="00362B8A"/>
    <w:rsid w:val="003635F3"/>
    <w:rsid w:val="00365EC5"/>
    <w:rsid w:val="0036714F"/>
    <w:rsid w:val="00367EB6"/>
    <w:rsid w:val="0037063E"/>
    <w:rsid w:val="003708D5"/>
    <w:rsid w:val="00372C84"/>
    <w:rsid w:val="003744AD"/>
    <w:rsid w:val="00374D02"/>
    <w:rsid w:val="0038061A"/>
    <w:rsid w:val="0038063B"/>
    <w:rsid w:val="00380837"/>
    <w:rsid w:val="003810B0"/>
    <w:rsid w:val="00381F0F"/>
    <w:rsid w:val="00382518"/>
    <w:rsid w:val="00382EDD"/>
    <w:rsid w:val="003836CA"/>
    <w:rsid w:val="00384306"/>
    <w:rsid w:val="00385291"/>
    <w:rsid w:val="00386A98"/>
    <w:rsid w:val="003A12A3"/>
    <w:rsid w:val="003A1E9C"/>
    <w:rsid w:val="003A7A5C"/>
    <w:rsid w:val="003B187D"/>
    <w:rsid w:val="003B4415"/>
    <w:rsid w:val="003B4CA7"/>
    <w:rsid w:val="003D012C"/>
    <w:rsid w:val="003D2552"/>
    <w:rsid w:val="003D30C1"/>
    <w:rsid w:val="003D42CB"/>
    <w:rsid w:val="003D6BE3"/>
    <w:rsid w:val="003D736E"/>
    <w:rsid w:val="003D75CE"/>
    <w:rsid w:val="003E0E52"/>
    <w:rsid w:val="003E61DF"/>
    <w:rsid w:val="003E6FFC"/>
    <w:rsid w:val="003F20A5"/>
    <w:rsid w:val="003F233D"/>
    <w:rsid w:val="00400B96"/>
    <w:rsid w:val="00401BD6"/>
    <w:rsid w:val="00405AE7"/>
    <w:rsid w:val="00405D5F"/>
    <w:rsid w:val="004064A4"/>
    <w:rsid w:val="00406862"/>
    <w:rsid w:val="00407272"/>
    <w:rsid w:val="00410914"/>
    <w:rsid w:val="00410B9E"/>
    <w:rsid w:val="00415AA3"/>
    <w:rsid w:val="00420C60"/>
    <w:rsid w:val="0042120F"/>
    <w:rsid w:val="00421CB2"/>
    <w:rsid w:val="00423983"/>
    <w:rsid w:val="00424D15"/>
    <w:rsid w:val="0042604D"/>
    <w:rsid w:val="00430432"/>
    <w:rsid w:val="00433759"/>
    <w:rsid w:val="0043494E"/>
    <w:rsid w:val="00436ADC"/>
    <w:rsid w:val="00440B76"/>
    <w:rsid w:val="004414A5"/>
    <w:rsid w:val="00444EB7"/>
    <w:rsid w:val="004450D0"/>
    <w:rsid w:val="004452BE"/>
    <w:rsid w:val="00452F7D"/>
    <w:rsid w:val="00454A81"/>
    <w:rsid w:val="00456697"/>
    <w:rsid w:val="00460441"/>
    <w:rsid w:val="00462E74"/>
    <w:rsid w:val="004638EF"/>
    <w:rsid w:val="00465FE1"/>
    <w:rsid w:val="00470F78"/>
    <w:rsid w:val="00471378"/>
    <w:rsid w:val="00475491"/>
    <w:rsid w:val="00476645"/>
    <w:rsid w:val="004869FB"/>
    <w:rsid w:val="00491735"/>
    <w:rsid w:val="00494A46"/>
    <w:rsid w:val="004A3C79"/>
    <w:rsid w:val="004A5475"/>
    <w:rsid w:val="004A6641"/>
    <w:rsid w:val="004B1EC1"/>
    <w:rsid w:val="004B217F"/>
    <w:rsid w:val="004B3600"/>
    <w:rsid w:val="004B3E7F"/>
    <w:rsid w:val="004B437C"/>
    <w:rsid w:val="004B768D"/>
    <w:rsid w:val="004C07FE"/>
    <w:rsid w:val="004C706C"/>
    <w:rsid w:val="004D3E4C"/>
    <w:rsid w:val="004D4610"/>
    <w:rsid w:val="004E2863"/>
    <w:rsid w:val="004F185D"/>
    <w:rsid w:val="004F6921"/>
    <w:rsid w:val="00500DD5"/>
    <w:rsid w:val="00502126"/>
    <w:rsid w:val="005037D9"/>
    <w:rsid w:val="00504418"/>
    <w:rsid w:val="005056ED"/>
    <w:rsid w:val="00506D58"/>
    <w:rsid w:val="00512859"/>
    <w:rsid w:val="00513A36"/>
    <w:rsid w:val="005159E6"/>
    <w:rsid w:val="00516106"/>
    <w:rsid w:val="005162A7"/>
    <w:rsid w:val="00517E4C"/>
    <w:rsid w:val="005210D2"/>
    <w:rsid w:val="005217C3"/>
    <w:rsid w:val="00521CF0"/>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2F32"/>
    <w:rsid w:val="005577C1"/>
    <w:rsid w:val="00560A2A"/>
    <w:rsid w:val="00564E53"/>
    <w:rsid w:val="00564E58"/>
    <w:rsid w:val="00571DE8"/>
    <w:rsid w:val="00574F8E"/>
    <w:rsid w:val="0057559A"/>
    <w:rsid w:val="005767E7"/>
    <w:rsid w:val="00580224"/>
    <w:rsid w:val="00581B74"/>
    <w:rsid w:val="00583277"/>
    <w:rsid w:val="00583744"/>
    <w:rsid w:val="00584E4C"/>
    <w:rsid w:val="005904A4"/>
    <w:rsid w:val="00592C3E"/>
    <w:rsid w:val="00595FA8"/>
    <w:rsid w:val="005A000F"/>
    <w:rsid w:val="005A045C"/>
    <w:rsid w:val="005A1ED6"/>
    <w:rsid w:val="005A4E86"/>
    <w:rsid w:val="005B173D"/>
    <w:rsid w:val="005B5349"/>
    <w:rsid w:val="005B6888"/>
    <w:rsid w:val="005B78B3"/>
    <w:rsid w:val="005D3185"/>
    <w:rsid w:val="005D6E95"/>
    <w:rsid w:val="005E4859"/>
    <w:rsid w:val="005F06B2"/>
    <w:rsid w:val="005F3F52"/>
    <w:rsid w:val="005F4B95"/>
    <w:rsid w:val="005F6C65"/>
    <w:rsid w:val="00600F02"/>
    <w:rsid w:val="0060444D"/>
    <w:rsid w:val="006122FC"/>
    <w:rsid w:val="006124F4"/>
    <w:rsid w:val="00624138"/>
    <w:rsid w:val="0062550A"/>
    <w:rsid w:val="00631CDC"/>
    <w:rsid w:val="0063497F"/>
    <w:rsid w:val="006354BB"/>
    <w:rsid w:val="00642776"/>
    <w:rsid w:val="00644FE2"/>
    <w:rsid w:val="00645FB8"/>
    <w:rsid w:val="0065134F"/>
    <w:rsid w:val="00651986"/>
    <w:rsid w:val="006545E8"/>
    <w:rsid w:val="00663747"/>
    <w:rsid w:val="00664736"/>
    <w:rsid w:val="00664A2A"/>
    <w:rsid w:val="00665701"/>
    <w:rsid w:val="00665980"/>
    <w:rsid w:val="006675FB"/>
    <w:rsid w:val="00672A00"/>
    <w:rsid w:val="00672BD0"/>
    <w:rsid w:val="0067640C"/>
    <w:rsid w:val="006836D9"/>
    <w:rsid w:val="00683F74"/>
    <w:rsid w:val="00686699"/>
    <w:rsid w:val="00686D0C"/>
    <w:rsid w:val="00695256"/>
    <w:rsid w:val="00695570"/>
    <w:rsid w:val="00696AF1"/>
    <w:rsid w:val="006A0298"/>
    <w:rsid w:val="006A3B31"/>
    <w:rsid w:val="006A66C1"/>
    <w:rsid w:val="006A68F3"/>
    <w:rsid w:val="006B06F4"/>
    <w:rsid w:val="006B2C6D"/>
    <w:rsid w:val="006B4127"/>
    <w:rsid w:val="006C24BF"/>
    <w:rsid w:val="006C40B9"/>
    <w:rsid w:val="006C6653"/>
    <w:rsid w:val="006E3160"/>
    <w:rsid w:val="006E678B"/>
    <w:rsid w:val="006F50AA"/>
    <w:rsid w:val="006F5843"/>
    <w:rsid w:val="006F599A"/>
    <w:rsid w:val="006F7580"/>
    <w:rsid w:val="00703009"/>
    <w:rsid w:val="0070367F"/>
    <w:rsid w:val="00712F3C"/>
    <w:rsid w:val="00713183"/>
    <w:rsid w:val="00715C27"/>
    <w:rsid w:val="007170AA"/>
    <w:rsid w:val="00722A29"/>
    <w:rsid w:val="00732B66"/>
    <w:rsid w:val="00737C8F"/>
    <w:rsid w:val="007406DE"/>
    <w:rsid w:val="00740867"/>
    <w:rsid w:val="00740C72"/>
    <w:rsid w:val="00740DCC"/>
    <w:rsid w:val="00743E79"/>
    <w:rsid w:val="00744BEA"/>
    <w:rsid w:val="00751532"/>
    <w:rsid w:val="00751C37"/>
    <w:rsid w:val="0075411F"/>
    <w:rsid w:val="0075672B"/>
    <w:rsid w:val="0075769B"/>
    <w:rsid w:val="00760BF2"/>
    <w:rsid w:val="007669B7"/>
    <w:rsid w:val="0077198E"/>
    <w:rsid w:val="007757F3"/>
    <w:rsid w:val="007815DC"/>
    <w:rsid w:val="00784224"/>
    <w:rsid w:val="00787AEA"/>
    <w:rsid w:val="00790F80"/>
    <w:rsid w:val="007922E5"/>
    <w:rsid w:val="00793469"/>
    <w:rsid w:val="00793B7E"/>
    <w:rsid w:val="00796E4A"/>
    <w:rsid w:val="007A47FB"/>
    <w:rsid w:val="007A5DFE"/>
    <w:rsid w:val="007A7056"/>
    <w:rsid w:val="007B106B"/>
    <w:rsid w:val="007B275D"/>
    <w:rsid w:val="007B6B9B"/>
    <w:rsid w:val="007C587C"/>
    <w:rsid w:val="007D661E"/>
    <w:rsid w:val="007E4877"/>
    <w:rsid w:val="007E4A2E"/>
    <w:rsid w:val="007E6AEB"/>
    <w:rsid w:val="007F01EC"/>
    <w:rsid w:val="007F4C88"/>
    <w:rsid w:val="007F7DF2"/>
    <w:rsid w:val="00806CD1"/>
    <w:rsid w:val="008079FA"/>
    <w:rsid w:val="00807DD0"/>
    <w:rsid w:val="00810D58"/>
    <w:rsid w:val="0081321A"/>
    <w:rsid w:val="00821D24"/>
    <w:rsid w:val="00823D48"/>
    <w:rsid w:val="00825286"/>
    <w:rsid w:val="0082611C"/>
    <w:rsid w:val="008336D7"/>
    <w:rsid w:val="00833E95"/>
    <w:rsid w:val="00835B31"/>
    <w:rsid w:val="00844B5D"/>
    <w:rsid w:val="00845F70"/>
    <w:rsid w:val="008463E6"/>
    <w:rsid w:val="0084793C"/>
    <w:rsid w:val="00850413"/>
    <w:rsid w:val="00853F91"/>
    <w:rsid w:val="00857B4A"/>
    <w:rsid w:val="00860633"/>
    <w:rsid w:val="008646DE"/>
    <w:rsid w:val="00864902"/>
    <w:rsid w:val="00864BE7"/>
    <w:rsid w:val="00865200"/>
    <w:rsid w:val="00865D9F"/>
    <w:rsid w:val="00871695"/>
    <w:rsid w:val="00876B69"/>
    <w:rsid w:val="00877F4A"/>
    <w:rsid w:val="00884879"/>
    <w:rsid w:val="00885DF9"/>
    <w:rsid w:val="00891C25"/>
    <w:rsid w:val="008945E1"/>
    <w:rsid w:val="00894D3D"/>
    <w:rsid w:val="008957E5"/>
    <w:rsid w:val="00895960"/>
    <w:rsid w:val="008973EE"/>
    <w:rsid w:val="00897630"/>
    <w:rsid w:val="008B1414"/>
    <w:rsid w:val="008B2609"/>
    <w:rsid w:val="008C51BA"/>
    <w:rsid w:val="008D089D"/>
    <w:rsid w:val="008D1762"/>
    <w:rsid w:val="008E31F5"/>
    <w:rsid w:val="008E3D14"/>
    <w:rsid w:val="008F0B04"/>
    <w:rsid w:val="008F3FE0"/>
    <w:rsid w:val="008F41A1"/>
    <w:rsid w:val="008F7C55"/>
    <w:rsid w:val="00900C72"/>
    <w:rsid w:val="0090150F"/>
    <w:rsid w:val="0090248D"/>
    <w:rsid w:val="009064F9"/>
    <w:rsid w:val="00906FE4"/>
    <w:rsid w:val="00907732"/>
    <w:rsid w:val="00916A11"/>
    <w:rsid w:val="00922540"/>
    <w:rsid w:val="00922B06"/>
    <w:rsid w:val="00926284"/>
    <w:rsid w:val="00930694"/>
    <w:rsid w:val="00930E70"/>
    <w:rsid w:val="0093521F"/>
    <w:rsid w:val="00936368"/>
    <w:rsid w:val="00936493"/>
    <w:rsid w:val="009370D3"/>
    <w:rsid w:val="00941BA7"/>
    <w:rsid w:val="00945677"/>
    <w:rsid w:val="00951FB6"/>
    <w:rsid w:val="00954FA5"/>
    <w:rsid w:val="00955B84"/>
    <w:rsid w:val="009610F8"/>
    <w:rsid w:val="00962113"/>
    <w:rsid w:val="00962F78"/>
    <w:rsid w:val="0096609F"/>
    <w:rsid w:val="009661D1"/>
    <w:rsid w:val="00966D8E"/>
    <w:rsid w:val="00971600"/>
    <w:rsid w:val="009727F7"/>
    <w:rsid w:val="00974DA0"/>
    <w:rsid w:val="00976702"/>
    <w:rsid w:val="009768F2"/>
    <w:rsid w:val="00983B0D"/>
    <w:rsid w:val="00984342"/>
    <w:rsid w:val="00987356"/>
    <w:rsid w:val="009973B4"/>
    <w:rsid w:val="009A76A1"/>
    <w:rsid w:val="009B0991"/>
    <w:rsid w:val="009B4074"/>
    <w:rsid w:val="009B7EB8"/>
    <w:rsid w:val="009C7717"/>
    <w:rsid w:val="009D1FC3"/>
    <w:rsid w:val="009D48E6"/>
    <w:rsid w:val="009D6D70"/>
    <w:rsid w:val="009D7E11"/>
    <w:rsid w:val="009E0796"/>
    <w:rsid w:val="009E30DA"/>
    <w:rsid w:val="009E6193"/>
    <w:rsid w:val="009E6F73"/>
    <w:rsid w:val="009E7DD1"/>
    <w:rsid w:val="009F0200"/>
    <w:rsid w:val="009F24E9"/>
    <w:rsid w:val="009F5125"/>
    <w:rsid w:val="009F609F"/>
    <w:rsid w:val="009F6AEE"/>
    <w:rsid w:val="009F7752"/>
    <w:rsid w:val="009F7EED"/>
    <w:rsid w:val="00A01006"/>
    <w:rsid w:val="00A02372"/>
    <w:rsid w:val="00A115EA"/>
    <w:rsid w:val="00A1377A"/>
    <w:rsid w:val="00A138EC"/>
    <w:rsid w:val="00A169D0"/>
    <w:rsid w:val="00A26E44"/>
    <w:rsid w:val="00A34B9E"/>
    <w:rsid w:val="00A42F6A"/>
    <w:rsid w:val="00A458FE"/>
    <w:rsid w:val="00A53106"/>
    <w:rsid w:val="00A6128F"/>
    <w:rsid w:val="00A6317F"/>
    <w:rsid w:val="00A672B4"/>
    <w:rsid w:val="00A7595A"/>
    <w:rsid w:val="00A76C35"/>
    <w:rsid w:val="00A801DE"/>
    <w:rsid w:val="00A90A22"/>
    <w:rsid w:val="00A95DF8"/>
    <w:rsid w:val="00A960E3"/>
    <w:rsid w:val="00A97734"/>
    <w:rsid w:val="00AA1A59"/>
    <w:rsid w:val="00AA6C7E"/>
    <w:rsid w:val="00AA7F40"/>
    <w:rsid w:val="00AB2990"/>
    <w:rsid w:val="00AB3547"/>
    <w:rsid w:val="00AB3C2B"/>
    <w:rsid w:val="00AB41FC"/>
    <w:rsid w:val="00AB6348"/>
    <w:rsid w:val="00AB7D2F"/>
    <w:rsid w:val="00AC3C8A"/>
    <w:rsid w:val="00AC763E"/>
    <w:rsid w:val="00AD1C7F"/>
    <w:rsid w:val="00AD333E"/>
    <w:rsid w:val="00AD6F34"/>
    <w:rsid w:val="00AE7EBD"/>
    <w:rsid w:val="00AF0AAB"/>
    <w:rsid w:val="00AF156F"/>
    <w:rsid w:val="00AF616B"/>
    <w:rsid w:val="00B03895"/>
    <w:rsid w:val="00B0685B"/>
    <w:rsid w:val="00B077F0"/>
    <w:rsid w:val="00B07916"/>
    <w:rsid w:val="00B15887"/>
    <w:rsid w:val="00B160D4"/>
    <w:rsid w:val="00B17A56"/>
    <w:rsid w:val="00B20E72"/>
    <w:rsid w:val="00B22D22"/>
    <w:rsid w:val="00B23030"/>
    <w:rsid w:val="00B237B9"/>
    <w:rsid w:val="00B23A5E"/>
    <w:rsid w:val="00B23CAA"/>
    <w:rsid w:val="00B2585D"/>
    <w:rsid w:val="00B26878"/>
    <w:rsid w:val="00B32760"/>
    <w:rsid w:val="00B33E9C"/>
    <w:rsid w:val="00B374FA"/>
    <w:rsid w:val="00B410EE"/>
    <w:rsid w:val="00B4369C"/>
    <w:rsid w:val="00B443E9"/>
    <w:rsid w:val="00B57EAB"/>
    <w:rsid w:val="00B62171"/>
    <w:rsid w:val="00B64949"/>
    <w:rsid w:val="00B65DED"/>
    <w:rsid w:val="00B72550"/>
    <w:rsid w:val="00B81284"/>
    <w:rsid w:val="00B8202D"/>
    <w:rsid w:val="00B857F1"/>
    <w:rsid w:val="00B90A00"/>
    <w:rsid w:val="00B929FD"/>
    <w:rsid w:val="00B95B99"/>
    <w:rsid w:val="00B95F69"/>
    <w:rsid w:val="00B963E4"/>
    <w:rsid w:val="00BA0438"/>
    <w:rsid w:val="00BA3355"/>
    <w:rsid w:val="00BB5DD4"/>
    <w:rsid w:val="00BB61AF"/>
    <w:rsid w:val="00BB6A56"/>
    <w:rsid w:val="00BC2015"/>
    <w:rsid w:val="00BC36BE"/>
    <w:rsid w:val="00BC6CDF"/>
    <w:rsid w:val="00BC71B0"/>
    <w:rsid w:val="00BE2675"/>
    <w:rsid w:val="00BE6A10"/>
    <w:rsid w:val="00BF597E"/>
    <w:rsid w:val="00C028B7"/>
    <w:rsid w:val="00C0299D"/>
    <w:rsid w:val="00C02BF8"/>
    <w:rsid w:val="00C03098"/>
    <w:rsid w:val="00C0339F"/>
    <w:rsid w:val="00C11E6F"/>
    <w:rsid w:val="00C14685"/>
    <w:rsid w:val="00C173F0"/>
    <w:rsid w:val="00C31C73"/>
    <w:rsid w:val="00C33F3C"/>
    <w:rsid w:val="00C42C8D"/>
    <w:rsid w:val="00C46B78"/>
    <w:rsid w:val="00C50AAC"/>
    <w:rsid w:val="00C51224"/>
    <w:rsid w:val="00C51A36"/>
    <w:rsid w:val="00C548BE"/>
    <w:rsid w:val="00C54D2F"/>
    <w:rsid w:val="00C55228"/>
    <w:rsid w:val="00C6750A"/>
    <w:rsid w:val="00C67E19"/>
    <w:rsid w:val="00C67E47"/>
    <w:rsid w:val="00C71E85"/>
    <w:rsid w:val="00C72993"/>
    <w:rsid w:val="00C73543"/>
    <w:rsid w:val="00C74F8C"/>
    <w:rsid w:val="00C76B63"/>
    <w:rsid w:val="00C81ACE"/>
    <w:rsid w:val="00C82318"/>
    <w:rsid w:val="00C86F9B"/>
    <w:rsid w:val="00C87FEE"/>
    <w:rsid w:val="00C911DA"/>
    <w:rsid w:val="00C920A9"/>
    <w:rsid w:val="00CA22B6"/>
    <w:rsid w:val="00CA5A02"/>
    <w:rsid w:val="00CB0B69"/>
    <w:rsid w:val="00CB11CC"/>
    <w:rsid w:val="00CB23ED"/>
    <w:rsid w:val="00CB260B"/>
    <w:rsid w:val="00CB2EF9"/>
    <w:rsid w:val="00CB61C9"/>
    <w:rsid w:val="00CC7416"/>
    <w:rsid w:val="00CC7902"/>
    <w:rsid w:val="00CD53A5"/>
    <w:rsid w:val="00CD5F20"/>
    <w:rsid w:val="00CD7B7C"/>
    <w:rsid w:val="00CE2A9E"/>
    <w:rsid w:val="00CE315A"/>
    <w:rsid w:val="00CE7BE1"/>
    <w:rsid w:val="00CF147A"/>
    <w:rsid w:val="00CF1726"/>
    <w:rsid w:val="00CF324A"/>
    <w:rsid w:val="00CF4462"/>
    <w:rsid w:val="00CF46F8"/>
    <w:rsid w:val="00CF615B"/>
    <w:rsid w:val="00CF6C5C"/>
    <w:rsid w:val="00D014DE"/>
    <w:rsid w:val="00D02852"/>
    <w:rsid w:val="00D02F7F"/>
    <w:rsid w:val="00D053E2"/>
    <w:rsid w:val="00D06F59"/>
    <w:rsid w:val="00D116BB"/>
    <w:rsid w:val="00D2302E"/>
    <w:rsid w:val="00D32DD4"/>
    <w:rsid w:val="00D3392D"/>
    <w:rsid w:val="00D35353"/>
    <w:rsid w:val="00D363BF"/>
    <w:rsid w:val="00D37F3C"/>
    <w:rsid w:val="00D4063C"/>
    <w:rsid w:val="00D42595"/>
    <w:rsid w:val="00D429D7"/>
    <w:rsid w:val="00D44AD0"/>
    <w:rsid w:val="00D458E8"/>
    <w:rsid w:val="00D5229B"/>
    <w:rsid w:val="00D55BC5"/>
    <w:rsid w:val="00D55E69"/>
    <w:rsid w:val="00D562F6"/>
    <w:rsid w:val="00D566B4"/>
    <w:rsid w:val="00D624A3"/>
    <w:rsid w:val="00D63304"/>
    <w:rsid w:val="00D6642D"/>
    <w:rsid w:val="00D82E3A"/>
    <w:rsid w:val="00D8388C"/>
    <w:rsid w:val="00D8644A"/>
    <w:rsid w:val="00D87E15"/>
    <w:rsid w:val="00D9062F"/>
    <w:rsid w:val="00D95656"/>
    <w:rsid w:val="00D96342"/>
    <w:rsid w:val="00D96755"/>
    <w:rsid w:val="00DA0DF0"/>
    <w:rsid w:val="00DA53CD"/>
    <w:rsid w:val="00DA7616"/>
    <w:rsid w:val="00DB58E3"/>
    <w:rsid w:val="00DC4F7D"/>
    <w:rsid w:val="00DC632A"/>
    <w:rsid w:val="00DC648B"/>
    <w:rsid w:val="00DD04F5"/>
    <w:rsid w:val="00DD1C8E"/>
    <w:rsid w:val="00DD665D"/>
    <w:rsid w:val="00DE146D"/>
    <w:rsid w:val="00DE2D80"/>
    <w:rsid w:val="00DE3F17"/>
    <w:rsid w:val="00DE40E3"/>
    <w:rsid w:val="00DE6FCE"/>
    <w:rsid w:val="00DF3923"/>
    <w:rsid w:val="00DF3ECC"/>
    <w:rsid w:val="00DF576F"/>
    <w:rsid w:val="00DF5A6A"/>
    <w:rsid w:val="00DF76DB"/>
    <w:rsid w:val="00E01D26"/>
    <w:rsid w:val="00E02739"/>
    <w:rsid w:val="00E038E4"/>
    <w:rsid w:val="00E04ED8"/>
    <w:rsid w:val="00E13D9A"/>
    <w:rsid w:val="00E217B6"/>
    <w:rsid w:val="00E21843"/>
    <w:rsid w:val="00E21E7D"/>
    <w:rsid w:val="00E32D13"/>
    <w:rsid w:val="00E43822"/>
    <w:rsid w:val="00E44012"/>
    <w:rsid w:val="00E44C05"/>
    <w:rsid w:val="00E456FE"/>
    <w:rsid w:val="00E467AB"/>
    <w:rsid w:val="00E54035"/>
    <w:rsid w:val="00E62996"/>
    <w:rsid w:val="00E63714"/>
    <w:rsid w:val="00E64A51"/>
    <w:rsid w:val="00E676F9"/>
    <w:rsid w:val="00E7040E"/>
    <w:rsid w:val="00E70928"/>
    <w:rsid w:val="00E764D2"/>
    <w:rsid w:val="00E910C0"/>
    <w:rsid w:val="00E9449D"/>
    <w:rsid w:val="00E97424"/>
    <w:rsid w:val="00EA10B1"/>
    <w:rsid w:val="00EA157A"/>
    <w:rsid w:val="00EA55F7"/>
    <w:rsid w:val="00EB0164"/>
    <w:rsid w:val="00EB2329"/>
    <w:rsid w:val="00EB5DF5"/>
    <w:rsid w:val="00EB619C"/>
    <w:rsid w:val="00EB65F7"/>
    <w:rsid w:val="00EC13AF"/>
    <w:rsid w:val="00EC42F5"/>
    <w:rsid w:val="00EC6702"/>
    <w:rsid w:val="00ED0F62"/>
    <w:rsid w:val="00ED47C6"/>
    <w:rsid w:val="00ED572A"/>
    <w:rsid w:val="00EE7B72"/>
    <w:rsid w:val="00EF36E7"/>
    <w:rsid w:val="00F06349"/>
    <w:rsid w:val="00F06D09"/>
    <w:rsid w:val="00F101A2"/>
    <w:rsid w:val="00F11201"/>
    <w:rsid w:val="00F14D99"/>
    <w:rsid w:val="00F32CB9"/>
    <w:rsid w:val="00F33729"/>
    <w:rsid w:val="00F35951"/>
    <w:rsid w:val="00F35CD7"/>
    <w:rsid w:val="00F3666E"/>
    <w:rsid w:val="00F40BCF"/>
    <w:rsid w:val="00F46B1E"/>
    <w:rsid w:val="00F51005"/>
    <w:rsid w:val="00F5266A"/>
    <w:rsid w:val="00F5492A"/>
    <w:rsid w:val="00F606E1"/>
    <w:rsid w:val="00F657C4"/>
    <w:rsid w:val="00F6739D"/>
    <w:rsid w:val="00F708CB"/>
    <w:rsid w:val="00F7317C"/>
    <w:rsid w:val="00F80C36"/>
    <w:rsid w:val="00F80F94"/>
    <w:rsid w:val="00F834DB"/>
    <w:rsid w:val="00F83639"/>
    <w:rsid w:val="00F840C3"/>
    <w:rsid w:val="00F856F5"/>
    <w:rsid w:val="00F862A2"/>
    <w:rsid w:val="00F87F8F"/>
    <w:rsid w:val="00F904F4"/>
    <w:rsid w:val="00F956F5"/>
    <w:rsid w:val="00FA0833"/>
    <w:rsid w:val="00FA350D"/>
    <w:rsid w:val="00FA623D"/>
    <w:rsid w:val="00FA7BCC"/>
    <w:rsid w:val="00FB03C3"/>
    <w:rsid w:val="00FB4B22"/>
    <w:rsid w:val="00FB5A65"/>
    <w:rsid w:val="00FB6C4D"/>
    <w:rsid w:val="00FC084D"/>
    <w:rsid w:val="00FC2DF2"/>
    <w:rsid w:val="00FC6E40"/>
    <w:rsid w:val="00FC6FE0"/>
    <w:rsid w:val="00FC78BF"/>
    <w:rsid w:val="00FD1448"/>
    <w:rsid w:val="00FD2869"/>
    <w:rsid w:val="00FD5EE5"/>
    <w:rsid w:val="00FD72A6"/>
    <w:rsid w:val="00FE0275"/>
    <w:rsid w:val="00FE065B"/>
    <w:rsid w:val="00FE09C9"/>
    <w:rsid w:val="00FE0C0C"/>
    <w:rsid w:val="00FE35F5"/>
    <w:rsid w:val="083E1381"/>
    <w:rsid w:val="0D9920D1"/>
    <w:rsid w:val="0ECD3B0F"/>
    <w:rsid w:val="108219C2"/>
    <w:rsid w:val="109B654F"/>
    <w:rsid w:val="11605B17"/>
    <w:rsid w:val="16323DD6"/>
    <w:rsid w:val="176067FE"/>
    <w:rsid w:val="1F7E3F8D"/>
    <w:rsid w:val="21170F96"/>
    <w:rsid w:val="2413231A"/>
    <w:rsid w:val="24E62770"/>
    <w:rsid w:val="254C01E8"/>
    <w:rsid w:val="26D03C54"/>
    <w:rsid w:val="31EF7A32"/>
    <w:rsid w:val="3E8D1D71"/>
    <w:rsid w:val="42775FAA"/>
    <w:rsid w:val="432744C9"/>
    <w:rsid w:val="47874676"/>
    <w:rsid w:val="4FA21D74"/>
    <w:rsid w:val="52563B71"/>
    <w:rsid w:val="53D66A81"/>
    <w:rsid w:val="5CE67524"/>
    <w:rsid w:val="5EA12B9A"/>
    <w:rsid w:val="619E11F2"/>
    <w:rsid w:val="6D64053F"/>
    <w:rsid w:val="6E2D4AC2"/>
    <w:rsid w:val="6FDA3EFF"/>
    <w:rsid w:val="71EF1503"/>
    <w:rsid w:val="78420CD7"/>
    <w:rsid w:val="7E044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360" w:lineRule="exact"/>
      <w:ind w:left="630" w:leftChars="300"/>
    </w:pPr>
    <w:rPr>
      <w:rFonts w:eastAsia="楷体_GB2312"/>
      <w:sz w:val="2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20"/>
    <w:rPr>
      <w:i/>
      <w:iCs/>
    </w:rPr>
  </w:style>
  <w:style w:type="character" w:styleId="12">
    <w:name w:val="Hyperlink"/>
    <w:basedOn w:val="10"/>
    <w:semiHidden/>
    <w:unhideWhenUsed/>
    <w:qFormat/>
    <w:uiPriority w:val="99"/>
    <w:rPr>
      <w:color w:val="0000FF" w:themeColor="hyperlink"/>
      <w:u w:val="single"/>
    </w:rPr>
  </w:style>
  <w:style w:type="character" w:customStyle="1" w:styleId="13">
    <w:name w:val="页眉 Char"/>
    <w:basedOn w:val="10"/>
    <w:link w:val="6"/>
    <w:qFormat/>
    <w:uiPriority w:val="0"/>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fontstyle01"/>
    <w:basedOn w:val="10"/>
    <w:qFormat/>
    <w:uiPriority w:val="0"/>
    <w:rPr>
      <w:rFonts w:hint="eastAsia" w:ascii="宋体" w:hAnsi="宋体" w:eastAsia="宋体"/>
      <w:color w:val="000000"/>
      <w:sz w:val="24"/>
      <w:szCs w:val="24"/>
    </w:rPr>
  </w:style>
  <w:style w:type="character" w:customStyle="1" w:styleId="18">
    <w:name w:val="fontstyle21"/>
    <w:basedOn w:val="10"/>
    <w:qFormat/>
    <w:uiPriority w:val="0"/>
    <w:rPr>
      <w:rFonts w:hint="default" w:ascii="Times New Roman" w:hAnsi="Times New Roman" w:cs="Times New Roman"/>
      <w:color w:val="000000"/>
      <w:sz w:val="24"/>
      <w:szCs w:val="24"/>
    </w:rPr>
  </w:style>
  <w:style w:type="paragraph" w:customStyle="1" w:styleId="19">
    <w:name w:val="东方正文"/>
    <w:basedOn w:val="1"/>
    <w:qFormat/>
    <w:uiPriority w:val="0"/>
    <w:pPr>
      <w:spacing w:line="400" w:lineRule="exact"/>
      <w:ind w:left="284" w:right="284"/>
    </w:pPr>
    <w:rPr>
      <w:sz w:val="24"/>
    </w:rPr>
  </w:style>
  <w:style w:type="paragraph" w:customStyle="1" w:styleId="20">
    <w:name w:val="_Style 2"/>
    <w:basedOn w:val="1"/>
    <w:qFormat/>
    <w:uiPriority w:val="34"/>
    <w:pPr>
      <w:widowControl/>
      <w:ind w:firstLine="420" w:firstLineChars="200"/>
      <w:jc w:val="left"/>
    </w:pPr>
    <w:rPr>
      <w:kern w:val="0"/>
      <w:sz w:val="20"/>
      <w:lang w:eastAsia="en-US"/>
    </w:rPr>
  </w:style>
  <w:style w:type="paragraph" w:styleId="21">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887</Words>
  <Characters>5059</Characters>
  <Lines>42</Lines>
  <Paragraphs>11</Paragraphs>
  <TotalTime>41</TotalTime>
  <ScaleCrop>false</ScaleCrop>
  <LinksUpToDate>false</LinksUpToDate>
  <CharactersWithSpaces>5935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2021-07-17T06:34:58Z</dcterms:modified>
  <cp:revision>1003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010CE4FF0C0041B7AA66E2D6AFDE479C</vt:lpwstr>
  </property>
</Properties>
</file>