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浙江泰福泵业股份有限公司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hint="eastAsia" w:ascii="宋体" w:hAnsi="宋体"/>
                <w:szCs w:val="21"/>
              </w:rPr>
              <w:t>年在能源品种没有变化的情况下，确定的能耗目标为：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单位产品综合能耗 1.55kgce / 台    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（此目标的建立基准是2020年10-12月实际完成值）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但未将公司能源目标自上而下进行有效分解。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n: 6.2</w:t>
            </w:r>
          </w:p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公司已经购买5块电表，下次注意观察企业电表安装和运行情况。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En6.6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FF"/>
                <w:szCs w:val="22"/>
                <w:lang w:val="en-US" w:eastAsia="zh-CN"/>
              </w:rPr>
              <w:t>未对主要耗能设备的能耗情况进行测试。——问题项</w:t>
            </w:r>
          </w:p>
          <w:p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11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C5B"/>
    <w:rsid w:val="00B03C5B"/>
    <w:rsid w:val="00BB4204"/>
    <w:rsid w:val="00F82D99"/>
    <w:rsid w:val="74FB7200"/>
    <w:rsid w:val="793C4D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2021-07-04T01:52:39Z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2F96C7AD026E4E70806940FE8727DC40</vt:lpwstr>
  </property>
</Properties>
</file>