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pPr w:leftFromText="180" w:rightFromText="180" w:vertAnchor="text" w:horzAnchor="page" w:tblpX="704" w:tblpY="457"/>
        <w:tblOverlap w:val="never"/>
        <w:tblW w:w="155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1699"/>
        <w:gridCol w:w="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过程与活动、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涉及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条款</w:t>
            </w:r>
          </w:p>
        </w:tc>
        <w:tc>
          <w:tcPr>
            <w:tcW w:w="11699" w:type="dxa"/>
            <w:vAlign w:val="center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受审核部门：</w:t>
            </w:r>
            <w:r>
              <w:rPr>
                <w:rFonts w:hint="eastAsia"/>
                <w:szCs w:val="21"/>
                <w:lang w:val="en-US" w:eastAsia="zh-CN"/>
              </w:rPr>
              <w:t xml:space="preserve">采购部   </w:t>
            </w:r>
            <w:r>
              <w:rPr>
                <w:rFonts w:hint="eastAsia"/>
                <w:szCs w:val="21"/>
              </w:rPr>
              <w:t xml:space="preserve">         主管领导</w:t>
            </w:r>
            <w:r>
              <w:rPr>
                <w:rFonts w:hint="eastAsia"/>
                <w:szCs w:val="21"/>
                <w:lang w:eastAsia="zh-CN"/>
              </w:rPr>
              <w:t>：</w:t>
            </w:r>
            <w:r>
              <w:rPr>
                <w:rFonts w:hint="eastAsia"/>
                <w:szCs w:val="21"/>
                <w:lang w:val="en-US" w:eastAsia="zh-CN"/>
              </w:rPr>
              <w:t xml:space="preserve">江佳鑫     </w:t>
            </w:r>
            <w:r>
              <w:rPr>
                <w:rFonts w:hint="eastAsia"/>
                <w:szCs w:val="21"/>
              </w:rPr>
              <w:t xml:space="preserve">            陪同人员 </w:t>
            </w:r>
            <w:r>
              <w:rPr>
                <w:rFonts w:hint="eastAsia"/>
                <w:szCs w:val="21"/>
                <w:lang w:val="en-US" w:eastAsia="zh-CN"/>
              </w:rPr>
              <w:t>张行蓉</w:t>
            </w:r>
          </w:p>
        </w:tc>
        <w:tc>
          <w:tcPr>
            <w:tcW w:w="740" w:type="dxa"/>
            <w:vMerge w:val="restart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1699" w:type="dxa"/>
            <w:vAlign w:val="center"/>
          </w:tcPr>
          <w:p>
            <w:pPr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 xml:space="preserve">审核员： </w:t>
            </w:r>
            <w:r>
              <w:rPr>
                <w:rFonts w:hint="eastAsia"/>
                <w:szCs w:val="21"/>
                <w:lang w:eastAsia="zh-CN"/>
              </w:rPr>
              <w:t>周涛、</w:t>
            </w:r>
            <w:r>
              <w:rPr>
                <w:rFonts w:hint="eastAsia"/>
                <w:szCs w:val="21"/>
                <w:lang w:val="en-US" w:eastAsia="zh-CN"/>
              </w:rPr>
              <w:t>林宏伟</w:t>
            </w:r>
            <w:r>
              <w:rPr>
                <w:rFonts w:hint="eastAsia"/>
                <w:szCs w:val="21"/>
              </w:rPr>
              <w:t xml:space="preserve">                 审核时间： </w:t>
            </w:r>
            <w:r>
              <w:rPr>
                <w:szCs w:val="21"/>
              </w:rPr>
              <w:t>2021.0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02</w:t>
            </w:r>
          </w:p>
        </w:tc>
        <w:tc>
          <w:tcPr>
            <w:tcW w:w="74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1699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审核条款： </w:t>
            </w:r>
            <w:r>
              <w:rPr>
                <w:szCs w:val="21"/>
              </w:rPr>
              <w:t xml:space="preserve"> </w:t>
            </w:r>
            <w:r>
              <w:t>E</w:t>
            </w:r>
            <w:r>
              <w:rPr>
                <w:rFonts w:hint="eastAsia"/>
              </w:rPr>
              <w:t>n:</w:t>
            </w:r>
            <w:r>
              <w:t xml:space="preserve"> </w:t>
            </w: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.3</w:t>
            </w:r>
            <w:r>
              <w:rPr>
                <w:rFonts w:hint="eastAsia"/>
                <w:szCs w:val="21"/>
              </w:rPr>
              <w:t>；6</w:t>
            </w:r>
            <w:r>
              <w:rPr>
                <w:szCs w:val="21"/>
              </w:rPr>
              <w:t>.2</w:t>
            </w:r>
            <w:r>
              <w:rPr>
                <w:rFonts w:hint="eastAsia"/>
                <w:szCs w:val="21"/>
              </w:rPr>
              <w:t>；</w:t>
            </w:r>
            <w:r>
              <w:rPr>
                <w:szCs w:val="21"/>
              </w:rPr>
              <w:t>8.1</w:t>
            </w:r>
            <w:r>
              <w:rPr>
                <w:rFonts w:hint="eastAsia"/>
                <w:szCs w:val="21"/>
              </w:rPr>
              <w:t>；8</w:t>
            </w:r>
            <w:r>
              <w:rPr>
                <w:szCs w:val="21"/>
              </w:rPr>
              <w:t>.3</w:t>
            </w:r>
          </w:p>
        </w:tc>
        <w:tc>
          <w:tcPr>
            <w:tcW w:w="74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7" w:hRule="atLeast"/>
        </w:trPr>
        <w:tc>
          <w:tcPr>
            <w:tcW w:w="2160" w:type="dxa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了解部门基本情况；的岗位设置；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职责和权限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查能源目标、指标及其实现的策划</w:t>
            </w: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运行的策划和控制、</w:t>
            </w: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ascii="宋体" w:hAnsi="宋体"/>
                <w:sz w:val="24"/>
                <w:szCs w:val="24"/>
              </w:rPr>
            </w:pPr>
          </w:p>
          <w:p>
            <w:pPr>
              <w:pStyle w:val="2"/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查能源采购；</w:t>
            </w: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查能源运行策划和控制</w:t>
            </w: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480" w:firstLineChars="2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480" w:firstLineChars="200"/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</w:tc>
        <w:tc>
          <w:tcPr>
            <w:tcW w:w="9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n:</w:t>
            </w:r>
            <w:r>
              <w:rPr>
                <w:sz w:val="24"/>
                <w:szCs w:val="24"/>
              </w:rPr>
              <w:t xml:space="preserve"> 5.3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n:</w:t>
            </w:r>
            <w:r>
              <w:rPr>
                <w:sz w:val="24"/>
                <w:szCs w:val="24"/>
              </w:rPr>
              <w:t>6.2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n:</w:t>
            </w:r>
            <w:r>
              <w:rPr>
                <w:rFonts w:hint="eastAsia" w:ascii="宋体" w:hAnsi="宋体"/>
                <w:sz w:val="24"/>
                <w:szCs w:val="24"/>
              </w:rPr>
              <w:t xml:space="preserve">8.1 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n:</w:t>
            </w:r>
            <w:r>
              <w:rPr>
                <w:sz w:val="24"/>
                <w:szCs w:val="24"/>
              </w:rPr>
              <w:t>8.1</w:t>
            </w:r>
          </w:p>
          <w:p>
            <w:pPr>
              <w:ind w:firstLine="240" w:firstLineChars="100"/>
              <w:rPr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1699" w:type="dxa"/>
          </w:tcPr>
          <w:p/>
          <w:p>
            <w:r>
              <w:rPr>
                <w:rFonts w:hint="eastAsia"/>
              </w:rPr>
              <w:t xml:space="preserve"> </w:t>
            </w:r>
            <w:r>
              <w:t xml:space="preserve">     </w:t>
            </w:r>
            <w:r>
              <w:rPr>
                <w:rFonts w:hint="eastAsia"/>
              </w:rPr>
              <w:t>本部门共有</w:t>
            </w:r>
            <w:r>
              <w:t>4</w:t>
            </w:r>
            <w:r>
              <w:rPr>
                <w:rFonts w:hint="eastAsia"/>
              </w:rPr>
              <w:t>人，设2个岗位，经理岗位（1人），采购岗位（3名采购员）</w:t>
            </w:r>
          </w:p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>主要负责公司能源采购、生产设备及其备品配件的采购，以确保采购设备和服务的能源性能。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出示有部门能源职责规定及岗位职责规定，内容基本符合要求。</w:t>
            </w:r>
          </w:p>
          <w:p/>
          <w:p/>
          <w:p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>出示部门分解目标指标，涉及能源的主要有：</w:t>
            </w:r>
          </w:p>
          <w:p>
            <w:r>
              <w:rPr>
                <w:rFonts w:hint="eastAsia"/>
              </w:rPr>
              <w:t xml:space="preserve"> </w:t>
            </w:r>
            <w:r>
              <w:t xml:space="preserve">      </w:t>
            </w:r>
          </w:p>
          <w:p>
            <w:pPr>
              <w:pStyle w:val="17"/>
              <w:numPr>
                <w:ilvl w:val="0"/>
                <w:numId w:val="1"/>
              </w:numPr>
            </w:pPr>
            <w:r>
              <w:rPr>
                <w:rFonts w:hint="eastAsia"/>
              </w:rPr>
              <w:t>确保公司生产能源供给1</w:t>
            </w:r>
            <w:r>
              <w:t>00%</w:t>
            </w:r>
            <w:r>
              <w:rPr>
                <w:rFonts w:hint="eastAsia"/>
              </w:rPr>
              <w:t>充分；</w:t>
            </w:r>
          </w:p>
          <w:p>
            <w:pPr>
              <w:pStyle w:val="17"/>
              <w:numPr>
                <w:ilvl w:val="0"/>
                <w:numId w:val="1"/>
              </w:numPr>
              <w:rPr>
                <w:rFonts w:hint="eastAsia"/>
              </w:rPr>
            </w:pPr>
            <w:r>
              <w:rPr>
                <w:rFonts w:hint="eastAsia"/>
              </w:rPr>
              <w:t>确保采购设备能源性能满足，合规合法；</w:t>
            </w:r>
          </w:p>
          <w:p/>
          <w:p>
            <w:pPr>
              <w:ind w:left="960" w:hanging="840" w:hangingChars="400"/>
            </w:pPr>
            <w:r>
              <w:rPr>
                <w:rFonts w:hint="eastAsia"/>
              </w:rPr>
              <w:t xml:space="preserve"> </w:t>
            </w:r>
            <w:r>
              <w:t xml:space="preserve">      </w:t>
            </w:r>
            <w:r>
              <w:rPr>
                <w:rFonts w:hint="eastAsia"/>
              </w:rPr>
              <w:t>公司要求各部门每月对目标指标完成情况进行检查考核，经查本部门2</w:t>
            </w:r>
            <w:r>
              <w:t>020</w:t>
            </w:r>
            <w:r>
              <w:rPr>
                <w:rFonts w:hint="eastAsia"/>
              </w:rPr>
              <w:t>年度和2</w:t>
            </w:r>
            <w:r>
              <w:t>021</w:t>
            </w:r>
            <w:r>
              <w:rPr>
                <w:rFonts w:hint="eastAsia"/>
              </w:rPr>
              <w:t>年1</w:t>
            </w:r>
            <w:r>
              <w:t>-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月</w:t>
            </w:r>
          </w:p>
          <w:p>
            <w:pPr>
              <w:ind w:left="960" w:hanging="840" w:hangingChars="400"/>
            </w:pPr>
          </w:p>
          <w:p>
            <w:pPr>
              <w:ind w:left="840" w:leftChars="400" w:firstLine="210" w:firstLineChars="100"/>
            </w:pPr>
            <w:r>
              <w:rPr>
                <w:rFonts w:hint="eastAsia"/>
              </w:rPr>
              <w:t>能源各项目标指标全部完成。</w:t>
            </w:r>
          </w:p>
          <w:p/>
          <w:p>
            <w:pPr>
              <w:pStyle w:val="2"/>
            </w:pPr>
          </w:p>
          <w:p/>
          <w:p>
            <w:pPr>
              <w:ind w:firstLine="630" w:firstLineChars="300"/>
            </w:pPr>
            <w:r>
              <w:rPr>
                <w:rFonts w:hint="eastAsia"/>
              </w:rPr>
              <w:t>本部门策划编制了《能源采购控制程序》，内容规定了公司能源采购和生产设备及其备品配件采购</w:t>
            </w:r>
          </w:p>
          <w:p>
            <w:pPr>
              <w:ind w:firstLine="630" w:firstLineChars="300"/>
            </w:pPr>
          </w:p>
          <w:p>
            <w:pPr>
              <w:ind w:firstLine="630" w:firstLineChars="300"/>
              <w:rPr>
                <w:rFonts w:hint="eastAsia"/>
              </w:rPr>
            </w:pPr>
            <w:r>
              <w:rPr>
                <w:rFonts w:hint="eastAsia"/>
              </w:rPr>
              <w:t>的控制要求，以确保采购的能源及其生产设备、备品配件满足能源性能的有效性。</w:t>
            </w: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</w:pPr>
          </w:p>
          <w:p>
            <w:pPr>
              <w:widowControl/>
              <w:spacing w:line="280" w:lineRule="exact"/>
              <w:jc w:val="left"/>
              <w:textAlignment w:val="center"/>
            </w:pPr>
            <w:r>
              <w:rPr>
                <w:rFonts w:hint="eastAsia"/>
              </w:rPr>
              <w:t>公司主要需求能源品种有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种：</w:t>
            </w:r>
            <w:r>
              <w:rPr>
                <w:rFonts w:hint="eastAsia"/>
                <w:lang w:val="en-US" w:eastAsia="zh-CN"/>
              </w:rPr>
              <w:t>电力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  <w:lang w:val="en-US" w:eastAsia="zh-CN"/>
              </w:rPr>
              <w:t>天然气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val="en-US" w:eastAsia="zh-CN"/>
              </w:rPr>
              <w:t>其中电和水</w:t>
            </w:r>
            <w:r>
              <w:rPr>
                <w:rFonts w:hint="eastAsia"/>
              </w:rPr>
              <w:t>均通过</w:t>
            </w:r>
            <w:r>
              <w:rPr>
                <w:rFonts w:hint="eastAsia"/>
                <w:lang w:val="en-US" w:eastAsia="zh-CN"/>
              </w:rPr>
              <w:t>温岭市</w:t>
            </w:r>
            <w:r>
              <w:rPr>
                <w:rFonts w:hint="eastAsia"/>
              </w:rPr>
              <w:t>政府专业公司进行购买。进入公司均以流量计、电表、水表计量数值进行核算。</w:t>
            </w:r>
          </w:p>
          <w:p>
            <w:pPr>
              <w:widowControl/>
              <w:spacing w:line="280" w:lineRule="exact"/>
              <w:jc w:val="left"/>
              <w:textAlignment w:val="center"/>
            </w:pPr>
          </w:p>
          <w:p>
            <w:pPr>
              <w:widowControl/>
              <w:spacing w:line="280" w:lineRule="exact"/>
              <w:ind w:firstLine="630" w:firstLineChars="300"/>
              <w:jc w:val="left"/>
              <w:textAlignment w:val="center"/>
            </w:pPr>
          </w:p>
          <w:p>
            <w:pPr>
              <w:widowControl/>
              <w:spacing w:line="280" w:lineRule="exact"/>
              <w:ind w:firstLine="630" w:firstLineChars="300"/>
              <w:jc w:val="left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抽查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采购，从节约能源的角度出发，按年度与</w:t>
            </w:r>
            <w:r>
              <w:rPr>
                <w:rFonts w:hint="eastAsia"/>
                <w:lang w:val="en-US" w:eastAsia="zh-CN"/>
              </w:rPr>
              <w:t>供方</w:t>
            </w:r>
            <w:r>
              <w:rPr>
                <w:rFonts w:hint="eastAsia"/>
              </w:rPr>
              <w:t>签订“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供用</w:t>
            </w:r>
            <w:r>
              <w:rPr>
                <w:rFonts w:hint="eastAsia"/>
                <w:lang w:val="en-US" w:eastAsia="zh-CN"/>
              </w:rPr>
              <w:t>合同”</w:t>
            </w:r>
            <w:r>
              <w:rPr>
                <w:rFonts w:hint="eastAsia"/>
              </w:rPr>
              <w:t>，确认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实际供应量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</w:pP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抽查与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原材料出卖方）</w:t>
            </w:r>
            <w:r>
              <w:rPr>
                <w:rFonts w:hint="eastAsia"/>
              </w:rPr>
              <w:t>有限公司签订的《202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>年度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供用</w:t>
            </w:r>
            <w:r>
              <w:rPr>
                <w:rFonts w:hint="eastAsia"/>
                <w:lang w:val="en-US" w:eastAsia="zh-CN"/>
              </w:rPr>
              <w:t>合同</w:t>
            </w:r>
            <w:r>
              <w:rPr>
                <w:rFonts w:hint="eastAsia"/>
              </w:rPr>
              <w:t>》</w:t>
            </w: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  <w:rPr>
                <w:rFonts w:hint="eastAsia"/>
              </w:rPr>
            </w:pP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如下图：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963670" cy="2988945"/>
                  <wp:effectExtent l="0" t="0" r="11430" b="8255"/>
                  <wp:docPr id="7" name="图片 7" descr="0f88490e2fb56618f92a75a9afc2d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f88490e2fb56618f92a75a9afc2dc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70" cy="298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20" w:lineRule="exac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-5336540</wp:posOffset>
                  </wp:positionV>
                  <wp:extent cx="7092950" cy="5358765"/>
                  <wp:effectExtent l="0" t="0" r="6350" b="635"/>
                  <wp:wrapSquare wrapText="bothSides"/>
                  <wp:docPr id="9" name="图片 9" descr="398adabed0cb322101ce831dad24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98adabed0cb322101ce831dad247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0" cy="535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963670" cy="5255895"/>
                  <wp:effectExtent l="0" t="0" r="11430" b="1905"/>
                  <wp:docPr id="10" name="图片 10" descr="2e96341e21db82ea3928f1e816b3b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e96341e21db82ea3928f1e816b3b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70" cy="525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20" w:lineRule="exact"/>
              <w:ind w:firstLine="630" w:firstLineChars="300"/>
            </w:pPr>
            <w:r>
              <w:rPr>
                <w:rFonts w:hint="eastAsia"/>
              </w:rPr>
              <w:t>本部门建立了《合格供方名录》，合格供方评价准则包含有清洁能源、设备及其备品配件的能效</w:t>
            </w:r>
          </w:p>
          <w:p>
            <w:pPr>
              <w:spacing w:line="42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</w:t>
            </w:r>
            <w:r>
              <w:rPr>
                <w:rFonts w:hint="eastAsia"/>
              </w:rPr>
              <w:t>要求等等，根据评价准则每二年组织一次评价。</w:t>
            </w:r>
          </w:p>
          <w:p>
            <w:pPr>
              <w:spacing w:line="42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  <w:r>
              <w:t xml:space="preserve">   </w:t>
            </w:r>
            <w:r>
              <w:rPr>
                <w:rFonts w:hint="eastAsia"/>
              </w:rPr>
              <w:t>查看《供方评价记录》，包括有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供方、电供方、水供方以及相应的设备及其备品配件供方。</w:t>
            </w:r>
          </w:p>
          <w:p>
            <w:pPr>
              <w:spacing w:before="31" w:beforeLines="10" w:after="31" w:afterLines="10"/>
              <w:ind w:firstLine="630" w:firstLineChars="300"/>
            </w:pPr>
          </w:p>
          <w:p>
            <w:pPr>
              <w:spacing w:before="31" w:beforeLines="10" w:after="31" w:afterLines="10"/>
              <w:ind w:left="840" w:leftChars="300" w:hanging="210" w:hangingChars="100"/>
            </w:pPr>
            <w:r>
              <w:rPr>
                <w:rFonts w:hint="eastAsia"/>
              </w:rPr>
              <w:t>本部门要求员工照明灯不用时及时将电源关闭， 电脑不使用时及时将电源关闭，电脑设置休眠功</w:t>
            </w:r>
          </w:p>
          <w:p>
            <w:pPr>
              <w:spacing w:before="31" w:beforeLines="10" w:after="31" w:afterLines="10"/>
              <w:ind w:left="840" w:leftChars="300" w:hanging="210" w:hangingChars="100"/>
            </w:pPr>
            <w:r>
              <w:rPr>
                <w:rFonts w:hint="eastAsia"/>
              </w:rPr>
              <w:t>能， 夏天空调设置26度以上。</w:t>
            </w:r>
          </w:p>
          <w:p>
            <w:pPr>
              <w:spacing w:before="31" w:beforeLines="10" w:after="31" w:afterLines="10"/>
              <w:ind w:left="840" w:leftChars="300" w:hanging="210" w:hangingChars="100"/>
              <w:rPr>
                <w:rFonts w:hint="eastAsia"/>
              </w:rPr>
            </w:pPr>
          </w:p>
          <w:p>
            <w:pPr>
              <w:spacing w:before="31" w:beforeLines="10" w:after="31" w:afterLines="10"/>
              <w:ind w:left="840" w:leftChars="400"/>
            </w:pPr>
            <w:r>
              <w:rPr>
                <w:rFonts w:hint="eastAsia"/>
              </w:rPr>
              <w:t>办公区张贴节约用电和节约用水的宣传标识。能够做到人走灯息、空调在26度以上，没有发现</w:t>
            </w:r>
          </w:p>
          <w:p>
            <w:pPr>
              <w:spacing w:before="31" w:beforeLines="10" w:after="31" w:afterLines="10"/>
              <w:ind w:left="840" w:leftChars="400"/>
              <w:rPr>
                <w:rFonts w:hint="eastAsia"/>
              </w:rPr>
            </w:pPr>
            <w:r>
              <w:rPr>
                <w:rFonts w:hint="eastAsia"/>
              </w:rPr>
              <w:t>长明灯、长流水现象。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cs="Arial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740" w:type="dxa"/>
          </w:tcPr>
          <w:p>
            <w:pPr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</w:tbl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705"/>
        <w:gridCol w:w="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705" w:type="dxa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生产部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徐军武、申修义        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张行蓉</w:t>
            </w:r>
          </w:p>
        </w:tc>
        <w:tc>
          <w:tcPr>
            <w:tcW w:w="884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705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周涛、林宏伟</w:t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2021.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7.3</w:t>
            </w:r>
          </w:p>
        </w:tc>
        <w:tc>
          <w:tcPr>
            <w:tcW w:w="88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705" w:type="dxa"/>
            <w:vAlign w:val="center"/>
          </w:tcPr>
          <w:p>
            <w:pPr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 w:ascii="宋体" w:hAnsi="宋体"/>
                <w:szCs w:val="21"/>
              </w:rPr>
              <w:t xml:space="preserve">5.3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 xml:space="preserve">6.2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6.3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6.4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6.6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/7.4/</w:t>
            </w:r>
            <w:r>
              <w:rPr>
                <w:rFonts w:hint="eastAsia" w:ascii="宋体" w:hAnsi="宋体"/>
                <w:szCs w:val="21"/>
              </w:rPr>
              <w:t>8.1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/10.1/10.2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</w:p>
        </w:tc>
        <w:tc>
          <w:tcPr>
            <w:tcW w:w="88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组织的岗位、</w:t>
            </w:r>
            <w:r>
              <w:rPr>
                <w:rFonts w:hint="eastAsia"/>
                <w:lang w:val="en-US" w:eastAsia="zh-CN"/>
              </w:rPr>
              <w:t>职责权限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En5.3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徐</w:t>
            </w:r>
            <w:bookmarkStart w:id="0" w:name="_GoBack"/>
            <w:bookmarkEnd w:id="0"/>
            <w:r>
              <w:rPr>
                <w:rFonts w:hint="eastAsia"/>
                <w:szCs w:val="22"/>
                <w:lang w:val="en-US" w:eastAsia="zh-CN"/>
              </w:rPr>
              <w:t>经理</w:t>
            </w:r>
            <w:r>
              <w:rPr>
                <w:rFonts w:hint="eastAsia"/>
                <w:lang w:val="en-US" w:eastAsia="zh-CN"/>
              </w:rPr>
              <w:t>介绍：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生产部设5个车间：铝压铸车间，冲压车间，注塑车间，电泳车间，包装车间。采用两班倒。生产部有职能说明书。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Times New Roman" w:hAnsi="Times New Roman" w:eastAsia="宋体" w:cs="Times New Roman"/>
                <w:szCs w:val="24"/>
              </w:rPr>
            </w:pPr>
            <w:r>
              <w:rPr>
                <w:rFonts w:hint="eastAsia"/>
                <w:lang w:val="en-US" w:eastAsia="zh-CN"/>
              </w:rPr>
              <w:t>职责：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根据相关部门的要求，及时上报各类生产信息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（如产能、员工变化情况、</w:t>
            </w:r>
            <w:r>
              <w:rPr>
                <w:rFonts w:hint="eastAsia" w:cs="Times New Roman"/>
                <w:sz w:val="18"/>
                <w:szCs w:val="18"/>
                <w:lang w:val="en-US" w:eastAsia="zh-CN"/>
              </w:rPr>
              <w:t>生产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情况等）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30" w:firstLineChars="300"/>
              <w:textAlignment w:val="auto"/>
              <w:rPr>
                <w:rFonts w:hint="eastAsia" w:ascii="宋体" w:hAnsi="宋体" w:eastAsia="宋体" w:cs="Times New Roman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4"/>
              </w:rPr>
              <w:t>保质、保量如期完成订单生产、产品打样等工作</w:t>
            </w:r>
            <w:r>
              <w:rPr>
                <w:rFonts w:hint="eastAsia" w:ascii="宋体" w:hAnsi="宋体" w:eastAsia="宋体" w:cs="Times New Roman"/>
                <w:szCs w:val="24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30" w:firstLineChars="300"/>
              <w:textAlignment w:val="auto"/>
              <w:rPr>
                <w:rFonts w:hint="eastAsia"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根据公司实际产能及在产订单生产进度，答复计划物控部的订单交期询问。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210" w:firstLineChars="100"/>
              <w:textAlignment w:val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根据生产计划、生产任务单，组织安排订单生产，协调各车间的生产进度；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30" w:firstLineChars="300"/>
              <w:textAlignment w:val="auto"/>
              <w:rPr>
                <w:rFonts w:hint="eastAsia"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制定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订单生产计划及编制生产日报表，并上报相关人员。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630" w:firstLineChars="300"/>
              <w:textAlignment w:val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协助订单生产的制程（包括工序及半成品）检验，及时上报制程检验中发现的问题；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630" w:firstLineChars="300"/>
              <w:textAlignment w:val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配合做好客户投诉调查处理的相关工作。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30" w:firstLineChars="300"/>
              <w:textAlignment w:val="auto"/>
              <w:rPr>
                <w:rFonts w:hint="eastAsia"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根据</w:t>
            </w:r>
            <w:r>
              <w:rPr>
                <w:rFonts w:hint="eastAsia" w:cs="Times New Roman"/>
                <w:szCs w:val="24"/>
                <w:lang w:val="en-US" w:eastAsia="zh-CN"/>
              </w:rPr>
              <w:t>设计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的要求，参与技术品管圈的相关工作，并配合</w:t>
            </w:r>
            <w:r>
              <w:rPr>
                <w:rFonts w:hint="eastAsia" w:cs="Times New Roman"/>
                <w:szCs w:val="24"/>
                <w:lang w:eastAsia="zh-CN"/>
              </w:rPr>
              <w:t>质检科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做好品质工程相关工作。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经理对职责基本明确清晰。</w:t>
            </w:r>
          </w:p>
        </w:tc>
        <w:tc>
          <w:tcPr>
            <w:tcW w:w="884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能源目标\</w:t>
            </w:r>
            <w:r>
              <w:rPr>
                <w:rFonts w:hint="eastAsia" w:ascii="宋体" w:hAnsi="宋体"/>
                <w:szCs w:val="21"/>
              </w:rPr>
              <w:t>能源指及其实现的策划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En6.2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公司2020的能耗指标：单位产品能耗＜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1.43kgce/台</w:t>
            </w:r>
            <w:r>
              <w:rPr>
                <w:rFonts w:hint="eastAsia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>因从2020年10月份开始利用天然气，因此要进行归一化计算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2020年1-9月份在没有利用天然气的情况下的各种能耗分别：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电力12060153kwh、水21512吨、柴油59.82吨；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折算成标煤为：电力1482192.8kgce、水1843.58kgce、柴油87163.72kgce。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2020年1-9月份综合能耗为：1571200kgce</w:t>
            </w:r>
          </w:p>
          <w:p>
            <w:pPr>
              <w:pStyle w:val="2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2020年1-9月份单位产品综合能耗为：1.47kgce/台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2020年10-12月份在利用天然气的情况下的各种能耗分别：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电力4646997kwh、水13459吨、柴油4.77吨、天然气127983m³；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折算成标煤为：电力571115.93kgce、水1153.44kgce、柴油6950.367kgce、天然气170217.39kgce。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2020年10-12月份综合能耗为：749437.13kgce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2020年10-12月份单位产品综合能耗为：1.55kgce/台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从上述可以看出，利用天然气后单位产品综合能耗明显增加了。</w:t>
            </w:r>
          </w:p>
          <w:p>
            <w:pPr>
              <w:pStyle w:val="2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pStyle w:val="2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2021年在能源品种没有变化的情况下，2021年的能耗目标为1.55kgce/台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2021年1-5月份，总用电7792062kwh，水14296t、柴油7.83t、天然气270359m³。</w:t>
            </w:r>
          </w:p>
          <w:p>
            <w:pPr>
              <w:pStyle w:val="2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折合标煤：电957644.42kgce、水1225.16kgce、柴油11408.31kgce、天然气359577.47kgce。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综合能耗1329855.36kgce，单位产品综合能耗1.74（kgce/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）；</w:t>
            </w:r>
          </w:p>
          <w:p>
            <w:pPr>
              <w:pStyle w:val="2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有上述可以看出，2021年1-5月份的能耗是超目标的，需要进行原因分析。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pStyle w:val="2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原因分析：从2020年10月份开始利用天然气在铸铝炉、电泳烤箱等设备代替一部分电力，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在开始使用天然气时由于对天然气的使用了解不是很好，在操作时不熟悉如何节约天然气。</w:t>
            </w:r>
          </w:p>
          <w:p>
            <w:pPr>
              <w:pStyle w:val="2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综合计算后发现单位产品综合能耗增加了，但是从电力和天然气的价格来计算，由于天然气的价格比电力要便宜，总体计算后，利用天然气要比电力节约成本。</w:t>
            </w:r>
          </w:p>
        </w:tc>
        <w:tc>
          <w:tcPr>
            <w:tcW w:w="884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能源评审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En6.3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提供：“浙江泰福泵业股份有限公司能源评审报告”2021年5月10；内容包括：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能源评审基础信息（目的和范围和边界、评审期、公司能源使用基本情况、淘汰能耗落后工艺、设备概况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等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）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公司管理体系覆盖范围包括：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水泵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生产和销售所涉及的能源管理的能源购入、能源转换、能源分配传输和能源使用活动。</w:t>
            </w:r>
          </w:p>
          <w:p>
            <w:pPr>
              <w:adjustRightInd w:val="0"/>
              <w:snapToGrid w:val="0"/>
              <w:spacing w:line="400" w:lineRule="exact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评审期：2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年1月1日～20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年12月31日。</w:t>
            </w:r>
          </w:p>
          <w:p>
            <w:pPr>
              <w:adjustRightInd w:val="0"/>
              <w:snapToGrid w:val="0"/>
              <w:spacing w:line="400" w:lineRule="exact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基准期：2019年1月1日～2019年</w:t>
            </w:r>
            <w:r>
              <w:rPr>
                <w:rFonts w:ascii="宋体" w:hAnsi="宋体"/>
                <w:szCs w:val="21"/>
              </w:rPr>
              <w:t>12</w:t>
            </w:r>
            <w:r>
              <w:rPr>
                <w:rFonts w:hint="eastAsia" w:ascii="宋体" w:hAnsi="宋体"/>
                <w:szCs w:val="21"/>
              </w:rPr>
              <w:t>月31日生产</w:t>
            </w:r>
            <w:r>
              <w:rPr>
                <w:rFonts w:ascii="宋体" w:hAnsi="宋体"/>
                <w:szCs w:val="21"/>
              </w:rPr>
              <w:t>周期内平均值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能源管理状况评审（能源方针目标、能源管理组织及职责、能源管理制度、能源管理、能源计量、能源统计管理、能源定额管理、近三年生产和节能技改项目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等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）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能源利用状况评审（能源消耗结构分析、用能设备能耗分析等）；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节能潜力分析和能源绩效优先改进机会识别（管理改进方法、项目改进方法）；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未来能源的消耗分析；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能源评审输出（能源绩效参数、能源基准和能源目标指标、影响主要能源使用的相关变量和参数控制）；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结论和建议（总体评价、建议）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以上内容基本满足标准要求。</w:t>
            </w:r>
          </w:p>
        </w:tc>
        <w:tc>
          <w:tcPr>
            <w:tcW w:w="884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能源绩效参数、能源基准的确定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En6.4/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6.5</w:t>
            </w:r>
          </w:p>
        </w:tc>
        <w:tc>
          <w:tcPr>
            <w:tcW w:w="10705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该企业根据2018年、2019年、2020年的生产经营情况进行分析，确定2020年的单位产品能耗为＜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1.43kgce/台</w:t>
            </w:r>
            <w:r>
              <w:rPr>
                <w:rFonts w:hint="eastAsia"/>
                <w:lang w:val="en-US" w:eastAsia="zh-CN"/>
              </w:rPr>
              <w:t xml:space="preserve">。 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企业制定的能源绩效参数为：电消耗总量（万Kwh）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、和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综合电耗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（</w:t>
            </w:r>
            <w:r>
              <w:rPr>
                <w:rFonts w:hint="eastAsia"/>
                <w:lang w:val="en-US" w:eastAsia="zh-CN"/>
              </w:rPr>
              <w:t>kwh/t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）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能源基准以上年度实际发生值为基准。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根据能源评审报告分析：202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年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浙江泰福泵业股份有限公司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的能源绩效参数和能源基准确定如下;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18"/>
              <w:gridCol w:w="989"/>
              <w:gridCol w:w="2067"/>
              <w:gridCol w:w="1170"/>
              <w:gridCol w:w="1940"/>
              <w:gridCol w:w="1425"/>
              <w:gridCol w:w="1171"/>
              <w:gridCol w:w="75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7" w:hRule="atLeast"/>
              </w:trPr>
              <w:tc>
                <w:tcPr>
                  <w:tcW w:w="818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序号</w:t>
                  </w:r>
                </w:p>
              </w:tc>
              <w:tc>
                <w:tcPr>
                  <w:tcW w:w="989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级别</w:t>
                  </w:r>
                </w:p>
              </w:tc>
              <w:tc>
                <w:tcPr>
                  <w:tcW w:w="2067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能源绩效参数</w:t>
                  </w:r>
                </w:p>
              </w:tc>
              <w:tc>
                <w:tcPr>
                  <w:tcW w:w="1170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单位</w:t>
                  </w:r>
                </w:p>
              </w:tc>
              <w:tc>
                <w:tcPr>
                  <w:tcW w:w="194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能源基准</w:t>
                  </w:r>
                </w:p>
                <w:p>
                  <w:pPr>
                    <w:pStyle w:val="2"/>
                    <w:ind w:left="0" w:leftChars="0" w:firstLine="0" w:firstLineChars="0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（2019年）</w:t>
                  </w:r>
                </w:p>
              </w:tc>
              <w:tc>
                <w:tcPr>
                  <w:tcW w:w="1425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能源目标</w:t>
                  </w:r>
                </w:p>
                <w:p>
                  <w:pPr>
                    <w:pStyle w:val="2"/>
                    <w:ind w:left="0" w:leftChars="0" w:firstLine="0" w:firstLineChars="0"/>
                    <w:jc w:val="center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(2020)</w:t>
                  </w:r>
                </w:p>
              </w:tc>
              <w:tc>
                <w:tcPr>
                  <w:tcW w:w="1171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完成时间</w:t>
                  </w:r>
                </w:p>
              </w:tc>
              <w:tc>
                <w:tcPr>
                  <w:tcW w:w="756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7" w:hRule="atLeast"/>
              </w:trPr>
              <w:tc>
                <w:tcPr>
                  <w:tcW w:w="818" w:type="dxa"/>
                  <w:vMerge w:val="restart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989" w:type="dxa"/>
                  <w:vMerge w:val="restart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公司级</w:t>
                  </w:r>
                </w:p>
              </w:tc>
              <w:tc>
                <w:tcPr>
                  <w:tcW w:w="2067" w:type="dxa"/>
                  <w:vAlign w:val="center"/>
                </w:tcPr>
                <w:p>
                  <w:pPr>
                    <w:pStyle w:val="2"/>
                    <w:jc w:val="center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总能耗</w:t>
                  </w:r>
                </w:p>
              </w:tc>
              <w:tc>
                <w:tcPr>
                  <w:tcW w:w="1170" w:type="dxa"/>
                  <w:vAlign w:val="center"/>
                </w:tcPr>
                <w:p>
                  <w:pPr>
                    <w:pStyle w:val="2"/>
                    <w:jc w:val="both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Kgce</w:t>
                  </w:r>
                </w:p>
              </w:tc>
              <w:tc>
                <w:tcPr>
                  <w:tcW w:w="1940" w:type="dxa"/>
                  <w:vAlign w:val="center"/>
                </w:tcPr>
                <w:p>
                  <w:pPr>
                    <w:pStyle w:val="2"/>
                    <w:ind w:left="0" w:leftChars="0" w:firstLine="0" w:firstLineChars="0"/>
                    <w:jc w:val="both"/>
                    <w:rPr>
                      <w:rFonts w:hint="default" w:ascii="宋体" w:hAnsi="宋体" w:eastAsia="宋体" w:cs="Times New Roman"/>
                      <w:color w:val="auto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1935574.16</w:t>
                  </w:r>
                </w:p>
              </w:tc>
              <w:tc>
                <w:tcPr>
                  <w:tcW w:w="1425" w:type="dxa"/>
                  <w:vAlign w:val="center"/>
                </w:tcPr>
                <w:p>
                  <w:pPr>
                    <w:pStyle w:val="2"/>
                    <w:ind w:left="0" w:leftChars="0" w:firstLine="0" w:firstLineChars="0"/>
                    <w:jc w:val="both"/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2320630.77</w:t>
                  </w:r>
                </w:p>
              </w:tc>
              <w:tc>
                <w:tcPr>
                  <w:tcW w:w="1171" w:type="dxa"/>
                  <w:vAlign w:val="center"/>
                </w:tcPr>
                <w:p>
                  <w:pPr>
                    <w:pStyle w:val="2"/>
                    <w:jc w:val="center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56" w:type="dxa"/>
                  <w:vAlign w:val="center"/>
                </w:tcPr>
                <w:p>
                  <w:pPr>
                    <w:pStyle w:val="2"/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7" w:hRule="atLeast"/>
              </w:trPr>
              <w:tc>
                <w:tcPr>
                  <w:tcW w:w="818" w:type="dxa"/>
                  <w:vMerge w:val="continue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989" w:type="dxa"/>
                  <w:vMerge w:val="continue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67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单位产品综合能耗</w:t>
                  </w:r>
                </w:p>
              </w:tc>
              <w:tc>
                <w:tcPr>
                  <w:tcW w:w="1170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Kgce/台</w:t>
                  </w:r>
                </w:p>
              </w:tc>
              <w:tc>
                <w:tcPr>
                  <w:tcW w:w="1940" w:type="dxa"/>
                </w:tcPr>
                <w:p>
                  <w:pPr>
                    <w:pStyle w:val="2"/>
                    <w:ind w:left="0" w:leftChars="0" w:firstLine="440" w:firstLineChars="200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1.43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2"/>
                    <w:ind w:left="0" w:leftChars="0" w:firstLine="220" w:firstLineChars="10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1.43</w:t>
                  </w:r>
                </w:p>
              </w:tc>
              <w:tc>
                <w:tcPr>
                  <w:tcW w:w="1171" w:type="dxa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2020.12</w:t>
                  </w:r>
                </w:p>
              </w:tc>
              <w:tc>
                <w:tcPr>
                  <w:tcW w:w="756" w:type="dxa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</w:tr>
          </w:tbl>
          <w:p>
            <w:pPr>
              <w:pStyle w:val="2"/>
              <w:ind w:left="0" w:leftChars="0" w:firstLine="0" w:firstLineChars="0"/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4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能源数据的收集策划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En6.6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cs="Times New Roman"/>
                <w:szCs w:val="22"/>
                <w:lang w:val="en-US" w:eastAsia="zh-CN"/>
              </w:rPr>
              <w:t>该企业根据能源统计和能源核算以及成本考核等因素，对能源数据的收集进行了策划，并通过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生产统计表（日报表）的形式予以展示，按照数据收集策划的要求对能源消耗进行成本核算和考核，基本满足企业能源管理的要求。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但企业并未形成文件化或准则要求，建议企业逐步改进，已与企业进行沟通。</w:t>
            </w:r>
          </w:p>
        </w:tc>
        <w:tc>
          <w:tcPr>
            <w:tcW w:w="884" w:type="dxa"/>
          </w:tcPr>
          <w:p/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运行控制、沟通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En7.4/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6.6/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8.1/9.1.1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firstLine="420" w:firstLineChars="200"/>
              <w:jc w:val="left"/>
              <w:textAlignment w:val="auto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cs="Times New Roman"/>
                <w:lang w:val="en-US" w:eastAsia="zh-CN"/>
              </w:rPr>
              <w:t>浙江泰福泵业股份有限公司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是一家专业研发、生产和销售</w:t>
            </w:r>
            <w:r>
              <w:rPr>
                <w:rFonts w:hint="eastAsia" w:ascii="宋体" w:hAnsi="宋体" w:cs="Times New Roman"/>
                <w:lang w:val="en-US" w:eastAsia="zh-CN"/>
              </w:rPr>
              <w:t>水泵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的企业，公司产品广泛应用于</w:t>
            </w:r>
            <w:r>
              <w:rPr>
                <w:rFonts w:hint="eastAsia" w:ascii="宋体" w:hAnsi="宋体" w:cs="Times New Roman"/>
                <w:lang w:val="en-US" w:eastAsia="zh-CN"/>
              </w:rPr>
              <w:t>水泵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等各个环节。引进美国、德国的先进技术和设备,为国内外</w:t>
            </w:r>
            <w:r>
              <w:rPr>
                <w:rFonts w:hint="eastAsia" w:ascii="宋体" w:hAnsi="宋体" w:cs="Times New Roman"/>
                <w:lang w:val="en-US" w:eastAsia="zh-CN"/>
              </w:rPr>
              <w:t>水泵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行业客户提供高品质、可循环使用的</w:t>
            </w:r>
            <w:r>
              <w:rPr>
                <w:rFonts w:hint="eastAsia" w:ascii="宋体" w:hAnsi="宋体" w:cs="Times New Roman"/>
                <w:lang w:val="en-US" w:eastAsia="zh-CN"/>
              </w:rPr>
              <w:t>水泵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。</w:t>
            </w:r>
            <w:r>
              <w:rPr>
                <w:rFonts w:hint="eastAsia" w:ascii="宋体" w:hAnsi="宋体" w:cs="Times New Roman"/>
                <w:lang w:val="en-US" w:eastAsia="zh-CN"/>
              </w:rPr>
              <w:t>泰福水泵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在发展历程中，秉承“质量和创新是企业生命线”的理念形成具有专业技术的设计团队，配备专业的材料检测室、运输包装实验室，为客户设计和定制实用、安全、经济的整体包装解决方案。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firstLine="420" w:firstLineChars="200"/>
              <w:jc w:val="left"/>
              <w:textAlignment w:val="auto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 xml:space="preserve">通过运用多个数据化管理系统，形成产、供、销科学之规划和管理，并可以完全根据客户之不同要求 设计、生产和安装，以此满足客户需要。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一、工艺流程：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生产工艺流程图：</w:t>
            </w:r>
          </w:p>
          <w:p>
            <w:pPr>
              <w:pStyle w:val="3"/>
            </w:pPr>
            <w:r>
              <w:drawing>
                <wp:inline distT="0" distB="0" distL="114300" distR="114300">
                  <wp:extent cx="5751195" cy="3241040"/>
                  <wp:effectExtent l="0" t="0" r="1905" b="1016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95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</w:pPr>
          </w:p>
          <w:p>
            <w:pPr>
              <w:pStyle w:val="3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default" w:eastAsia="宋体"/>
                <w:b/>
                <w:sz w:val="20"/>
                <w:lang w:val="en-US" w:eastAsia="zh-CN"/>
              </w:rPr>
              <w:drawing>
                <wp:inline distT="0" distB="0" distL="114300" distR="114300">
                  <wp:extent cx="5536565" cy="1684020"/>
                  <wp:effectExtent l="0" t="0" r="635" b="5080"/>
                  <wp:docPr id="12" name="图片 12" descr="井用潜水泵生产工艺流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井用潜水泵生产工艺流程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56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default" w:eastAsia="宋体"/>
                <w:b/>
                <w:sz w:val="20"/>
                <w:lang w:val="en-US" w:eastAsia="zh-CN"/>
              </w:rPr>
              <w:drawing>
                <wp:inline distT="0" distB="0" distL="114300" distR="114300">
                  <wp:extent cx="5610225" cy="3345815"/>
                  <wp:effectExtent l="0" t="0" r="3175" b="6985"/>
                  <wp:docPr id="20" name="图片 20" descr="节能泵生产工艺流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节能泵生产工艺流程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334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生产控制情况：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default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抽查：202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年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月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1号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份生产统计表（日报表）和202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年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月份生产统计表（日报表）分析当月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能耗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与产品的消耗等数据，对能源消耗进行控制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。</w:t>
            </w: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三、设备管理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提供：设备管理制度及生产设备台账，编制了设备管理制度和生产设备台账，记录主要用能设备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85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台，对主要耗能设备进行识别，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0000FF"/>
                <w:szCs w:val="22"/>
                <w:lang w:val="en-US" w:eastAsia="zh-CN"/>
              </w:rPr>
              <w:t>未对主要耗能设备的能耗情况进行测试。——问题项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主要耗能设备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集中化铝炉、燃气式保温炉、压铸机、高速冲床、化铝电炉等</w:t>
            </w:r>
          </w:p>
          <w:p>
            <w:pPr>
              <w:pStyle w:val="3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leftChars="0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四、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能源计量管理：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提供：测量设备管理台账见下图</w:t>
            </w:r>
          </w:p>
          <w:tbl>
            <w:tblPr>
              <w:tblStyle w:val="9"/>
              <w:tblW w:w="9789" w:type="dxa"/>
              <w:jc w:val="center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0"/>
              <w:gridCol w:w="854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30" w:type="dxa"/>
                  <w:vMerge w:val="restar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序号</w:t>
                  </w:r>
                </w:p>
              </w:tc>
              <w:tc>
                <w:tcPr>
                  <w:tcW w:w="854" w:type="dxa"/>
                  <w:vMerge w:val="restar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能源计量类别</w:t>
                  </w:r>
                </w:p>
              </w:tc>
              <w:tc>
                <w:tcPr>
                  <w:tcW w:w="2835" w:type="dxa"/>
                  <w:gridSpan w:val="5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进出用能单位</w:t>
                  </w:r>
                </w:p>
              </w:tc>
              <w:tc>
                <w:tcPr>
                  <w:tcW w:w="2835" w:type="dxa"/>
                  <w:gridSpan w:val="5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进出主要次级用能单位</w:t>
                  </w:r>
                </w:p>
              </w:tc>
              <w:tc>
                <w:tcPr>
                  <w:tcW w:w="2835" w:type="dxa"/>
                  <w:gridSpan w:val="5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主要用能设备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30" w:type="dxa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854" w:type="dxa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应装数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安装数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应配备率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配备率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完好率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应装数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安装数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应配备率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配备率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完好率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应装数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安装数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应配备率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配备率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完好率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30" w:type="dxa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854" w:type="dxa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％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％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％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％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％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％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台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％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％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％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30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</w:t>
                  </w:r>
                </w:p>
              </w:tc>
              <w:tc>
                <w:tcPr>
                  <w:tcW w:w="854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水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30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2</w:t>
                  </w:r>
                </w:p>
              </w:tc>
              <w:tc>
                <w:tcPr>
                  <w:tcW w:w="854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ascii="Times New Roman" w:hAnsi="Times New Roman" w:eastAsia="仿宋_GB2312" w:cs="Times New Roman"/>
                    </w:rPr>
                    <w:t>电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5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5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30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854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合计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2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2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</w:rPr>
                    <w:t>100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ascii="Times New Roman" w:hAnsi="Times New Roman" w:eastAsia="仿宋_GB2312" w:cs="Times New Roman"/>
                      <w:lang w:eastAsia="zh-CN"/>
                    </w:rPr>
                  </w:pPr>
                  <w:r>
                    <w:rPr>
                      <w:rFonts w:hint="eastAsia" w:eastAsia="仿宋_GB2312" w:cs="Times New Roman"/>
                      <w:lang w:val="en-US" w:eastAsia="zh-CN"/>
                    </w:rPr>
                    <w:t>0</w:t>
                  </w: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  <w:tc>
                <w:tcPr>
                  <w:tcW w:w="56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eastAsia="仿宋_GB2312" w:cs="Times New Roman"/>
                    </w:rPr>
                  </w:pPr>
                </w:p>
              </w:tc>
            </w:tr>
          </w:tbl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leftChars="0" w:firstLine="420" w:firstLineChars="200"/>
              <w:textAlignment w:val="auto"/>
              <w:rPr>
                <w:rFonts w:hint="default" w:ascii="宋体" w:hAnsi="宋体" w:eastAsia="宋体" w:cs="Times New Roman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t>电表配备不符合要求（已经购买电表，正在安装）</w:t>
            </w:r>
          </w:p>
          <w:p>
            <w:pPr>
              <w:pStyle w:val="4"/>
              <w:spacing w:before="0" w:after="0" w:line="400" w:lineRule="exact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4"/>
              <w:spacing w:before="0" w:after="0" w:line="400" w:lineRule="exact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五、淘汰能耗落后工艺、设备概况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按照国家政策法规文件识别</w:t>
            </w: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浙江泰福泵业股份有限公司</w:t>
            </w: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无相关能耗落后的工艺，</w:t>
            </w: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也无</w:t>
            </w: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淘汰落后设备。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leftChars="0"/>
              <w:jc w:val="left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能源绩效</w:t>
            </w:r>
          </w:p>
          <w:p>
            <w:pPr>
              <w:spacing w:before="120" w:beforeLines="50" w:line="360" w:lineRule="auto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2019年公司生产能源消耗实际情况：</w:t>
            </w:r>
          </w:p>
          <w:tbl>
            <w:tblPr>
              <w:tblStyle w:val="9"/>
              <w:tblW w:w="10096" w:type="dxa"/>
              <w:tblInd w:w="98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56"/>
              <w:gridCol w:w="1888"/>
              <w:gridCol w:w="1888"/>
              <w:gridCol w:w="1888"/>
              <w:gridCol w:w="1888"/>
              <w:gridCol w:w="1888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月份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电：数量（度）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水：数量(吨)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柴油：数量（吨）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产量(台)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产值（千元）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1222650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1452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4.95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92050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25933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903010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3.625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35807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8991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985190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2175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9.38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86198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25298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1023280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1519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8.395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121805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35507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1259250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1465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4.945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128908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36211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6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1221390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2275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9.335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128450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36064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1380280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2248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9.785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105755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33814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1329270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7.25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120523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32378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1241890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4862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4.825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124442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34775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1116050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9.18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122071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35902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11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1443030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4094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9.625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138149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40490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1536280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9.27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145788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43191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合计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14661570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20090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90.565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1349946</w:t>
                  </w:r>
                </w:p>
              </w:tc>
              <w:tc>
                <w:tcPr>
                  <w:tcW w:w="188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388554</w:t>
                  </w:r>
                </w:p>
              </w:tc>
            </w:tr>
          </w:tbl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2019年耗电14661570kwh、耗水20090吨、柴油90565kg；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折合标煤为：电1801906.95kgce、水1714kgce、柴油131953.21kgce；合计：1935574.16kgce。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单位产品能耗为：1.43kgce/台。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spacing w:before="120" w:beforeLines="50" w:line="360" w:lineRule="auto"/>
              <w:jc w:val="both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年公司生产能源消耗实际情况：</w:t>
            </w:r>
          </w:p>
          <w:tbl>
            <w:tblPr>
              <w:tblStyle w:val="9"/>
              <w:tblW w:w="10026" w:type="dxa"/>
              <w:tblInd w:w="98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58"/>
              <w:gridCol w:w="1561"/>
              <w:gridCol w:w="1561"/>
              <w:gridCol w:w="1561"/>
              <w:gridCol w:w="1561"/>
              <w:gridCol w:w="1561"/>
              <w:gridCol w:w="1563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月份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电：数量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（度）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水：数量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(吨)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柴油数量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（吨）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天然气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数量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（立方）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产量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(台)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产值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（千元）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1830483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2887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4.85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79990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25535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187200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1814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4.87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22652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6069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1035650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712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7.38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129684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39887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1505600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1658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9.27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160701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47816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1503550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2043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9.68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162620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47632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6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1649950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1868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9.475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139593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41820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1536550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2625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4.755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159215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48345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1472688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3397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9.54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121593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21421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1338482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4508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90116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22790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1348047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4320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892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145766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38712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11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1554905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5417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4.77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81578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160417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44511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1744045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3722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jc w:val="righ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45513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176076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48914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合计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16707150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34971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64.59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127983</w:t>
                  </w:r>
                </w:p>
              </w:tc>
              <w:tc>
                <w:tcPr>
                  <w:tcW w:w="15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1548423</w:t>
                  </w:r>
                </w:p>
              </w:tc>
              <w:tc>
                <w:tcPr>
                  <w:tcW w:w="15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433452</w:t>
                  </w:r>
                </w:p>
              </w:tc>
            </w:tr>
          </w:tbl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因2020年10月份开始利用天然气，因此需要进行归一化计算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tbl>
            <w:tblPr>
              <w:tblStyle w:val="9"/>
              <w:tblW w:w="10196" w:type="dxa"/>
              <w:tblInd w:w="98" w:type="dxa"/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56"/>
              <w:gridCol w:w="1590"/>
              <w:gridCol w:w="1590"/>
              <w:gridCol w:w="1590"/>
              <w:gridCol w:w="1590"/>
              <w:gridCol w:w="1590"/>
              <w:gridCol w:w="1590"/>
            </w:tblGrid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月份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电：（kwh）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水：(t)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柴油（t）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天然气（m³）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产量(台)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产值（千元）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1830483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2887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4.85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79990</w:t>
                  </w:r>
                </w:p>
              </w:tc>
              <w:tc>
                <w:tcPr>
                  <w:tcW w:w="15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25535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187200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1814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4.87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22652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6069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1035650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712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7.38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129684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39887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1505600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1658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9.27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160701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47816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1503550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2043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9.68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162620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47632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6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1649950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1868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9.475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139593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41820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1536550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2625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4.755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159215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48345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1472688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3397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9.54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121593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21421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1338482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4508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90116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22790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合计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12060153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21512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59.82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righ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1066164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301315</w:t>
                  </w:r>
                </w:p>
              </w:tc>
            </w:tr>
          </w:tbl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2020年1-9月份在没有利用天然气的情况下的各种能耗分别：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电力12060153kwh、水21512吨、柴油59.82吨；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折算成标煤为：电力1482192.8kgce、水1843.58kgce、柴油87163.72kgce。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2020年1-9月份综合能耗为：1571200kgce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2020年1-9月份单位产品综合能耗为：1.47kgce/台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2020年10-12月份在利用天然气后的单位产品综合能耗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tbl>
            <w:tblPr>
              <w:tblStyle w:val="9"/>
              <w:tblW w:w="10231" w:type="dxa"/>
              <w:tblInd w:w="98" w:type="dxa"/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56"/>
              <w:gridCol w:w="1595"/>
              <w:gridCol w:w="1595"/>
              <w:gridCol w:w="1595"/>
              <w:gridCol w:w="1595"/>
              <w:gridCol w:w="1595"/>
              <w:gridCol w:w="1600"/>
            </w:tblGrid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656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月份</w:t>
                  </w:r>
                </w:p>
              </w:tc>
              <w:tc>
                <w:tcPr>
                  <w:tcW w:w="1595" w:type="dxa"/>
                  <w:tcBorders>
                    <w:top w:val="single" w:color="000000" w:sz="8" w:space="0"/>
                    <w:left w:val="nil"/>
                    <w:bottom w:val="nil"/>
                    <w:right w:val="single" w:color="000000" w:sz="8" w:space="0"/>
                  </w:tcBorders>
                  <w:shd w:val="clear" w:color="auto" w:fill="auto"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电：（kwh）</w:t>
                  </w:r>
                </w:p>
              </w:tc>
              <w:tc>
                <w:tcPr>
                  <w:tcW w:w="1595" w:type="dxa"/>
                  <w:tcBorders>
                    <w:top w:val="single" w:color="000000" w:sz="8" w:space="0"/>
                    <w:left w:val="nil"/>
                    <w:bottom w:val="nil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水：(t)</w:t>
                  </w:r>
                </w:p>
              </w:tc>
              <w:tc>
                <w:tcPr>
                  <w:tcW w:w="1595" w:type="dxa"/>
                  <w:tcBorders>
                    <w:top w:val="single" w:color="000000" w:sz="8" w:space="0"/>
                    <w:left w:val="nil"/>
                    <w:bottom w:val="nil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柴油（t）</w:t>
                  </w:r>
                </w:p>
              </w:tc>
              <w:tc>
                <w:tcPr>
                  <w:tcW w:w="1595" w:type="dxa"/>
                  <w:tcBorders>
                    <w:top w:val="single" w:color="000000" w:sz="8" w:space="0"/>
                    <w:left w:val="nil"/>
                    <w:bottom w:val="nil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天然气（m³）</w:t>
                  </w:r>
                </w:p>
              </w:tc>
              <w:tc>
                <w:tcPr>
                  <w:tcW w:w="1595" w:type="dxa"/>
                  <w:tcBorders>
                    <w:top w:val="single" w:color="000000" w:sz="8" w:space="0"/>
                    <w:left w:val="nil"/>
                    <w:bottom w:val="nil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产量(台)</w:t>
                  </w:r>
                </w:p>
              </w:tc>
              <w:tc>
                <w:tcPr>
                  <w:tcW w:w="1600" w:type="dxa"/>
                  <w:tcBorders>
                    <w:top w:val="single" w:color="000000" w:sz="8" w:space="0"/>
                    <w:left w:val="nil"/>
                    <w:bottom w:val="nil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产值（千元）</w:t>
                  </w:r>
                </w:p>
              </w:tc>
            </w:tr>
            <w:tr>
              <w:tblPrEx>
                <w:shd w:val="clear" w:color="auto" w:fill="auto"/>
              </w:tblPrEx>
              <w:trPr>
                <w:trHeight w:val="31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10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1348047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4320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892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145766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38712</w:t>
                  </w:r>
                </w:p>
              </w:tc>
            </w:tr>
            <w:tr>
              <w:tblPrEx>
                <w:shd w:val="clear" w:color="auto" w:fill="auto"/>
              </w:tblPrEx>
              <w:trPr>
                <w:trHeight w:val="31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11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1554905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5417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4.77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81578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160417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44511</w:t>
                  </w:r>
                </w:p>
              </w:tc>
            </w:tr>
            <w:tr>
              <w:tblPrEx>
                <w:shd w:val="clear" w:color="auto" w:fill="auto"/>
              </w:tblPrEx>
              <w:trPr>
                <w:trHeight w:val="29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1744045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3722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jc w:val="righ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45513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176076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48914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5" w:hRule="atLeast"/>
              </w:trPr>
              <w:tc>
                <w:tcPr>
                  <w:tcW w:w="656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合计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4646997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13459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4.77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127983</w:t>
                  </w:r>
                </w:p>
              </w:tc>
              <w:tc>
                <w:tcPr>
                  <w:tcW w:w="1595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482259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132137</w:t>
                  </w:r>
                </w:p>
              </w:tc>
            </w:tr>
          </w:tbl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2020年10-12月份在利用天然气的情况下的各种能耗分别：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电力4646997kwh、水13459吨、柴油4.77吨、天然气127983m³；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折算成标煤为：电力571115.93kgce、水1153.44kgce、柴油6950.367kgce、天然气170217.39kgce。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2020年10-12月份综合能耗为：749437.13kgce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2020年10-12月份单位产品综合能耗为：1.55kgce/台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从上述可以看出，利用天然气后单位产品综合能耗明显增加了。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spacing w:before="120" w:beforeLines="50" w:line="360" w:lineRule="auto"/>
              <w:ind w:firstLine="420" w:firstLineChars="200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2021年1月-5月用能情况如下：</w:t>
            </w:r>
          </w:p>
          <w:tbl>
            <w:tblPr>
              <w:tblStyle w:val="9"/>
              <w:tblW w:w="10116" w:type="dxa"/>
              <w:tblInd w:w="98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56"/>
              <w:gridCol w:w="1576"/>
              <w:gridCol w:w="1576"/>
              <w:gridCol w:w="1576"/>
              <w:gridCol w:w="1576"/>
              <w:gridCol w:w="1576"/>
              <w:gridCol w:w="158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月份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电：数量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（度）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水：数量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(吨)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柴油：（吨）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天然气：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（立方）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产量（台）</w:t>
                  </w:r>
                </w:p>
              </w:tc>
              <w:tc>
                <w:tcPr>
                  <w:tcW w:w="15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产值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br w:type="textWrapping"/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（千元）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1276655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3162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50466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153500</w:t>
                  </w:r>
                </w:p>
              </w:tc>
              <w:tc>
                <w:tcPr>
                  <w:tcW w:w="15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42320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5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1772072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1822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4.22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71388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73255</w:t>
                  </w:r>
                </w:p>
              </w:tc>
              <w:tc>
                <w:tcPr>
                  <w:tcW w:w="15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22130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1337209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3386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54660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183105</w:t>
                  </w:r>
                </w:p>
              </w:tc>
              <w:tc>
                <w:tcPr>
                  <w:tcW w:w="15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52320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1740013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3778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 xml:space="preserve">      </w:t>
                  </w: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180095</w:t>
                  </w:r>
                </w:p>
              </w:tc>
              <w:tc>
                <w:tcPr>
                  <w:tcW w:w="15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50660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5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1666113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2148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3.61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93845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175035</w:t>
                  </w:r>
                </w:p>
              </w:tc>
              <w:tc>
                <w:tcPr>
                  <w:tcW w:w="15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48750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6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合计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7792062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14296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7.83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270359</w:t>
                  </w:r>
                </w:p>
              </w:tc>
              <w:tc>
                <w:tcPr>
                  <w:tcW w:w="157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764990</w:t>
                  </w:r>
                </w:p>
              </w:tc>
              <w:tc>
                <w:tcPr>
                  <w:tcW w:w="15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2"/>
                      <w:lang w:val="en-US" w:eastAsia="zh-CN" w:bidi="ar-SA"/>
                    </w:rPr>
                    <w:t>216180</w:t>
                  </w:r>
                </w:p>
              </w:tc>
            </w:tr>
          </w:tbl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spacing w:before="120" w:beforeLines="50" w:line="360" w:lineRule="auto"/>
              <w:jc w:val="left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2021年1-5月份，总用电7792062（kwh），水14296t、柴油7.83t、天然气270359m³。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r'r't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折合标煤：电957644.42、水1225.16kgce、柴油11408.31kgce、天然气359577.47kgce。</w:t>
            </w:r>
          </w:p>
          <w:p>
            <w:pPr>
              <w:spacing w:before="120" w:beforeLines="50" w:line="360" w:lineRule="auto"/>
              <w:ind w:firstLine="420" w:firstLineChars="200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综合能耗1329855.36kgce，单位产品综合能耗1.74（kgce/t）；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七、现场巡视情况：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现场查看生产控制和设备运行情况，部分生产设备正在运行现场生产秩序良好，未发现跑冒滴漏现象；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现场计量设备有计量确认合格证。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00350" cy="1725930"/>
                  <wp:effectExtent l="0" t="0" r="6350" b="1270"/>
                  <wp:docPr id="11" name="图片 11" descr="e98ad7160667d0cd66ea2b139800d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98ad7160667d0cd66ea2b139800d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472690" cy="1723390"/>
                  <wp:effectExtent l="0" t="0" r="3810" b="3810"/>
                  <wp:docPr id="3" name="图片 3" descr="454ca2bf0f1ef4407ea9c4819da9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54ca2bf0f1ef4407ea9c4819da9a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940685" cy="2640330"/>
                  <wp:effectExtent l="0" t="0" r="5715" b="1270"/>
                  <wp:docPr id="14" name="图片 14" descr="f1502d995473d40f9717903bd070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1502d995473d40f9717903bd070ed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64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 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71470" cy="2639060"/>
                  <wp:effectExtent l="0" t="0" r="11430" b="2540"/>
                  <wp:docPr id="15" name="图片 15" descr="db8389f569a4fcf61e306939e8c8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b8389f569a4fcf61e306939e8c86c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生产控制及设备运行情况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抽查《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注塑车间-中央供料系统操作规程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》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、《行车安全操作规程》、《空压机操作规程》、《冲压车间-高速冲设备操作规程》、《压铸车间-抛丸机操作规程》、《电泳操作规程》、《悬挂链式喷涂操作规程》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规定了操作标准，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现场查看操作规程情况：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6654800" cy="3816350"/>
                  <wp:effectExtent l="0" t="0" r="0" b="6350"/>
                  <wp:docPr id="5" name="图片 5" descr="8e3487b21ae13bed5f2ab81f246d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e3487b21ae13bed5f2ab81f246d9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0" cy="381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938780" cy="2208530"/>
                  <wp:effectExtent l="0" t="0" r="7620" b="1270"/>
                  <wp:docPr id="6" name="图片 6" descr="b4bf3c83b394b6814a8b5f9d43fd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4bf3c83b394b6814a8b5f9d43fd7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   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92425" cy="2160270"/>
                  <wp:effectExtent l="0" t="0" r="3175" b="11430"/>
                  <wp:docPr id="13" name="图片 13" descr="3ab627d41f7b1970f244b81bc320f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ab627d41f7b1970f244b81bc320f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3091180" cy="2680970"/>
                  <wp:effectExtent l="0" t="0" r="7620" b="11430"/>
                  <wp:docPr id="8" name="图片 8" descr="eb34c375648dfae5c8052fb8e1ec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b34c375648dfae5c8052fb8e1ec6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2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50820" cy="2685415"/>
                  <wp:effectExtent l="0" t="0" r="5080" b="6985"/>
                  <wp:docPr id="16" name="图片 16" descr="299f531cc0a98bfbe4119202bdd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99f531cc0a98bfbe4119202bdd15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68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提供《作业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记录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》，平时的操作能够按照标准进行操作。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031490" cy="2274570"/>
                  <wp:effectExtent l="0" t="0" r="3810" b="11430"/>
                  <wp:docPr id="17" name="图片 17" descr="33b4a40f910bf3f83e9012808ce05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3b4a40f910bf3f83e9012808ce057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976245" cy="2212975"/>
                  <wp:effectExtent l="0" t="0" r="8255" b="9525"/>
                  <wp:docPr id="18" name="图片 18" descr="04816117b0a38d669c2db7834108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4816117b0a38d669c2db7834108da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4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101340" cy="2202180"/>
                  <wp:effectExtent l="0" t="0" r="10160" b="7620"/>
                  <wp:docPr id="19" name="图片 19" descr="88c270e9439eee8134d8d1878810c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8c270e9439eee8134d8d1878810c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39720" cy="2129790"/>
                  <wp:effectExtent l="0" t="0" r="5080" b="3810"/>
                  <wp:docPr id="21" name="图片 21" descr="dcdf9db68718563f1cb22c6fd2afc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cdf9db68718563f1cb22c6fd2afc4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20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设备维护保养的情况：</w:t>
            </w:r>
          </w:p>
          <w:p>
            <w:pPr>
              <w:tabs>
                <w:tab w:val="left" w:pos="1660"/>
                <w:tab w:val="center" w:pos="7286"/>
              </w:tabs>
              <w:spacing w:line="400" w:lineRule="exact"/>
              <w:jc w:val="both"/>
              <w:textAlignment w:val="baseline"/>
              <w:rPr>
                <w:rFonts w:hint="eastAsia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cs="Times New Roman"/>
                <w:color w:val="auto"/>
                <w:szCs w:val="22"/>
                <w:lang w:val="en-US" w:eastAsia="zh-CN"/>
              </w:rPr>
              <w:t>提供《设备维护保养规程》和《设备保养计划》并提供《设备维护保养检查表》、《设备检查表》如下图：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6384290" cy="4165600"/>
                  <wp:effectExtent l="0" t="0" r="3810" b="0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290" cy="41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2018665" cy="2491105"/>
                  <wp:effectExtent l="0" t="0" r="635" b="10795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24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drawing>
                <wp:inline distT="0" distB="0" distL="114300" distR="114300">
                  <wp:extent cx="2526665" cy="2400935"/>
                  <wp:effectExtent l="0" t="0" r="635" b="12065"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2463800" cy="2265680"/>
                  <wp:effectExtent l="0" t="0" r="0" b="7620"/>
                  <wp:docPr id="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2286000" cy="2146935"/>
                  <wp:effectExtent l="0" t="0" r="0" b="12065"/>
                  <wp:docPr id="2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ind w:left="0" w:leftChars="0" w:firstLine="0" w:firstLineChars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FF0000"/>
                <w:lang w:val="en-US" w:eastAsia="zh-CN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不符合纠正/持续改进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En10.1/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10.2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内审不符合项：</w:t>
            </w:r>
            <w:r>
              <w:rPr>
                <w:rFonts w:hint="eastAsia" w:cs="Times New Roman"/>
                <w:color w:val="auto"/>
                <w:szCs w:val="22"/>
                <w:lang w:val="en-US" w:eastAsia="zh-CN"/>
              </w:rPr>
              <w:t>内部审核发现1个不符合项，已经整改完毕，并制定了纠正措施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现场验证：纠正措施有效。</w:t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</w:tc>
        <w:tc>
          <w:tcPr>
            <w:tcW w:w="884" w:type="dxa"/>
          </w:tcPr>
          <w:p/>
        </w:tc>
      </w:tr>
    </w:tbl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/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887"/>
        <w:gridCol w:w="7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887" w:type="dxa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技术部</w:t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郝技宇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张行蓉</w:t>
            </w:r>
          </w:p>
        </w:tc>
        <w:tc>
          <w:tcPr>
            <w:tcW w:w="702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887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周涛、林宏伟  </w:t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2021.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7.4</w:t>
            </w:r>
          </w:p>
        </w:tc>
        <w:tc>
          <w:tcPr>
            <w:tcW w:w="702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887" w:type="dxa"/>
            <w:vAlign w:val="center"/>
          </w:tcPr>
          <w:p>
            <w:pPr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 w:ascii="宋体" w:hAnsi="宋体"/>
                <w:szCs w:val="21"/>
              </w:rPr>
              <w:t xml:space="preserve">5.3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 xml:space="preserve">6.2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/7.4/</w:t>
            </w:r>
            <w:r>
              <w:rPr>
                <w:rFonts w:hint="eastAsia" w:ascii="宋体" w:hAnsi="宋体"/>
                <w:szCs w:val="21"/>
              </w:rPr>
              <w:t>8.1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/8.2/10.1</w:t>
            </w:r>
          </w:p>
        </w:tc>
        <w:tc>
          <w:tcPr>
            <w:tcW w:w="702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组织的岗位、</w:t>
            </w:r>
            <w:r>
              <w:rPr>
                <w:rFonts w:hint="eastAsia"/>
                <w:lang w:val="en-US" w:eastAsia="zh-CN"/>
              </w:rPr>
              <w:t>职责权限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En5.3</w:t>
            </w:r>
          </w:p>
        </w:tc>
        <w:tc>
          <w:tcPr>
            <w:tcW w:w="10887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杨洪启介绍：人员：6人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主要是根据客户需求定制化设计产品制造方案。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设计研发后打样、验证、完善工艺资料交生产部门批量制作。</w:t>
            </w:r>
          </w:p>
        </w:tc>
        <w:tc>
          <w:tcPr>
            <w:tcW w:w="702" w:type="dxa"/>
          </w:tcPr>
          <w:p/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能源目标\</w:t>
            </w:r>
            <w:r>
              <w:rPr>
                <w:rFonts w:hint="eastAsia" w:ascii="宋体" w:hAnsi="宋体"/>
                <w:szCs w:val="21"/>
              </w:rPr>
              <w:t>能源指及其实现的策划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En6.2</w:t>
            </w:r>
          </w:p>
        </w:tc>
        <w:tc>
          <w:tcPr>
            <w:tcW w:w="10887" w:type="dxa"/>
          </w:tcPr>
          <w:p>
            <w:pPr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公司将“追求卓越、技术创新、提高质量、提升服务”作为企业理念，将“创新是一个企业进步的灵魂”作为企业文化，努力降低企业能耗，从设计环节考虑节能工作。</w:t>
            </w:r>
          </w:p>
          <w:p>
            <w:pPr>
              <w:rPr>
                <w:rFonts w:hint="default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企业统计了年、月、日的用电量，技术研发部按照公司的目标执行。</w:t>
            </w:r>
          </w:p>
        </w:tc>
        <w:tc>
          <w:tcPr>
            <w:tcW w:w="702" w:type="dxa"/>
          </w:tcPr>
          <w:p/>
          <w:p>
            <w:pPr>
              <w:pStyle w:val="2"/>
            </w:pPr>
          </w:p>
          <w:p>
            <w:pPr>
              <w:pStyle w:val="2"/>
              <w:ind w:left="0" w:leftChars="0" w:firstLine="0" w:firstLineChars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与客户的沟通，纠正及整改、运行控制和设计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En7.4/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8.1/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8.2/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10.1</w:t>
            </w:r>
          </w:p>
        </w:tc>
        <w:tc>
          <w:tcPr>
            <w:tcW w:w="1088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设计研发过程：获取客户的需求——提供零件（3D数据或样品）等相关使用要求合计数参数；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根据客户需求设计产品方案；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与客户确认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1470" w:firstLineChars="7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再根据客户确认情况进行方案调整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再与客户确认（最终销售参与——商务活动）确定订单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2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抽查设计计划表：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2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6186805" cy="4458335"/>
                  <wp:effectExtent l="0" t="0" r="10795" b="12065"/>
                  <wp:docPr id="27" name="图片 27" descr="dad94c15d72058fe6f9dd9bb80ab5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ad94c15d72058fe6f9dd9bb80ab58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805" cy="445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20"/>
              <w:textAlignment w:val="auto"/>
              <w:rPr>
                <w:rFonts w:hint="eastAsia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20"/>
              <w:textAlignment w:val="auto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再抽设计资料（工业节能装备申报表），如下图：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989830" cy="3853180"/>
                  <wp:effectExtent l="0" t="0" r="1270" b="7620"/>
                  <wp:docPr id="28" name="图片 28" descr="4794979aeb9650001a1300ff03dc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794979aeb9650001a1300ff03dc69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830" cy="385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2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 xml:space="preserve">目前项目已经实验完毕，正在正常生产。                                    </w:t>
            </w:r>
          </w:p>
        </w:tc>
        <w:tc>
          <w:tcPr>
            <w:tcW w:w="702" w:type="dxa"/>
          </w:tcPr>
          <w:p/>
        </w:tc>
      </w:tr>
    </w:tbl>
    <w:p/>
    <w:p>
      <w:pPr>
        <w:pStyle w:val="6"/>
      </w:pPr>
    </w:p>
    <w:p>
      <w:pPr>
        <w:pStyle w:val="6"/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6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6"/>
        <w:rFonts w:hint="default"/>
      </w:rPr>
      <w:t>北京国标联合认证有限公司</w:t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</w:p>
  <w:p>
    <w:pPr>
      <w:pStyle w:val="7"/>
      <w:pBdr>
        <w:bottom w:val="none" w:color="auto" w:sz="0" w:space="1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016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23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管理体系审核记录表(03版)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60288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EGquXWAAAACgEAAA8AAAAAAAAAAQAgAAAAIgAA&#10;AGRycy9kb3ducmV2LnhtbFBLAQIUABQAAAAIAIdO4kCPdkp10QEAAI4DAAAOAAAAAAAAAAEAIAAA&#10;ACUBAABkcnMvZTJvRG9jLnhtbFBLBQYAAAAABgAGAFkBAABo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管理体系审核记录表(03版)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16"/>
        <w:rFonts w:hint="default"/>
        <w:w w:val="90"/>
      </w:rPr>
      <w:t>Beijing International Standard united Certification Co.,Ltd.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F8C1E2"/>
    <w:multiLevelType w:val="singleLevel"/>
    <w:tmpl w:val="8CF8C1E2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5FCE0DA"/>
    <w:multiLevelType w:val="singleLevel"/>
    <w:tmpl w:val="05FCE0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3D91676"/>
    <w:multiLevelType w:val="singleLevel"/>
    <w:tmpl w:val="23D9167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87C4961"/>
    <w:multiLevelType w:val="singleLevel"/>
    <w:tmpl w:val="387C496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1F214AA"/>
    <w:multiLevelType w:val="multilevel"/>
    <w:tmpl w:val="41F214AA"/>
    <w:lvl w:ilvl="0" w:tentative="0">
      <w:start w:val="1"/>
      <w:numFmt w:val="decimal"/>
      <w:lvlText w:val="%1）"/>
      <w:lvlJc w:val="left"/>
      <w:pPr>
        <w:ind w:left="13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536930"/>
    <w:rsid w:val="00564E53"/>
    <w:rsid w:val="005D5659"/>
    <w:rsid w:val="00600C20"/>
    <w:rsid w:val="00644FE2"/>
    <w:rsid w:val="0067640C"/>
    <w:rsid w:val="006E678B"/>
    <w:rsid w:val="007757F3"/>
    <w:rsid w:val="007C1B48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B4D08ED"/>
    <w:rsid w:val="0D502897"/>
    <w:rsid w:val="0E9D36FE"/>
    <w:rsid w:val="0EC22237"/>
    <w:rsid w:val="10024BD4"/>
    <w:rsid w:val="108219C2"/>
    <w:rsid w:val="153F1A43"/>
    <w:rsid w:val="18E0378C"/>
    <w:rsid w:val="1B635529"/>
    <w:rsid w:val="1D2F1751"/>
    <w:rsid w:val="1E92443A"/>
    <w:rsid w:val="1F303612"/>
    <w:rsid w:val="23F57CAA"/>
    <w:rsid w:val="25302F06"/>
    <w:rsid w:val="25726879"/>
    <w:rsid w:val="265042EE"/>
    <w:rsid w:val="29550A82"/>
    <w:rsid w:val="2C615A70"/>
    <w:rsid w:val="2CB52A35"/>
    <w:rsid w:val="2D5D32D6"/>
    <w:rsid w:val="2FDA7696"/>
    <w:rsid w:val="366F12A2"/>
    <w:rsid w:val="37022033"/>
    <w:rsid w:val="38F903D7"/>
    <w:rsid w:val="397A1146"/>
    <w:rsid w:val="3FD87230"/>
    <w:rsid w:val="451658FE"/>
    <w:rsid w:val="48EE64E2"/>
    <w:rsid w:val="49907112"/>
    <w:rsid w:val="5062731F"/>
    <w:rsid w:val="51B355DC"/>
    <w:rsid w:val="51CB0431"/>
    <w:rsid w:val="56686FBC"/>
    <w:rsid w:val="56955064"/>
    <w:rsid w:val="5EA12B9A"/>
    <w:rsid w:val="60A703C5"/>
    <w:rsid w:val="665253F3"/>
    <w:rsid w:val="66957D31"/>
    <w:rsid w:val="6A997D30"/>
    <w:rsid w:val="6B317C7C"/>
    <w:rsid w:val="6B651E3A"/>
    <w:rsid w:val="6C3312C7"/>
    <w:rsid w:val="70F503F3"/>
    <w:rsid w:val="75532C29"/>
    <w:rsid w:val="788C0C63"/>
    <w:rsid w:val="790565FF"/>
    <w:rsid w:val="7AEC0F33"/>
    <w:rsid w:val="7CDA12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sz w:val="24"/>
    </w:r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0">
    <w:name w:val="Table Grid"/>
    <w:basedOn w:val="9"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qFormat/>
    <w:uiPriority w:val="99"/>
    <w:rPr>
      <w:color w:val="0000FF"/>
      <w:u w:val="single"/>
    </w:rPr>
  </w:style>
  <w:style w:type="character" w:customStyle="1" w:styleId="13">
    <w:name w:val="页眉 字符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字符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0</TotalTime>
  <ScaleCrop>false</ScaleCrop>
  <LinksUpToDate>false</LinksUpToDate>
  <CharactersWithSpaces>147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Lenovo</cp:lastModifiedBy>
  <dcterms:modified xsi:type="dcterms:W3CDTF">2021-07-06T15:16:11Z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A2A87B4AA3C04090A0C757B97B7400CA</vt:lpwstr>
  </property>
</Properties>
</file>