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hint="default" w:eastAsia="宋体"/>
          <w:b/>
          <w:sz w:val="22"/>
          <w:szCs w:val="22"/>
          <w:lang w:val="en-US" w:eastAsia="zh-CN"/>
        </w:rPr>
      </w:pPr>
      <w:bookmarkStart w:id="0" w:name="勾选"/>
      <w:bookmarkStart w:id="1" w:name="Q勾选"/>
      <w:r>
        <w:rPr>
          <w:rFonts w:hint="eastAsia"/>
          <w:b/>
          <w:sz w:val="22"/>
          <w:szCs w:val="22"/>
        </w:rPr>
        <w:t>□</w:t>
      </w:r>
      <w:bookmarkEnd w:id="0"/>
      <w:bookmarkEnd w:id="1"/>
      <w:r>
        <w:rPr>
          <w:b/>
          <w:sz w:val="22"/>
          <w:szCs w:val="22"/>
        </w:rPr>
        <w:t xml:space="preserve">QMS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r>
        <w:rPr>
          <w:rFonts w:hint="eastAsia"/>
          <w:b/>
          <w:sz w:val="22"/>
          <w:szCs w:val="22"/>
          <w:lang w:val="en-US" w:eastAsia="zh-CN"/>
        </w:rPr>
        <w:t xml:space="preserve">   </w:t>
      </w:r>
      <w:r>
        <w:rPr>
          <w:rFonts w:hint="eastAsia"/>
          <w:b/>
          <w:sz w:val="22"/>
          <w:szCs w:val="22"/>
          <w:lang w:eastAsia="zh-CN"/>
        </w:rPr>
        <w:t>☑</w:t>
      </w:r>
      <w:r>
        <w:rPr>
          <w:b/>
          <w:sz w:val="22"/>
          <w:szCs w:val="22"/>
        </w:rPr>
        <w:t>E</w:t>
      </w:r>
      <w:r>
        <w:rPr>
          <w:rFonts w:hint="eastAsia"/>
          <w:b/>
          <w:sz w:val="22"/>
          <w:szCs w:val="22"/>
          <w:lang w:val="en-US" w:eastAsia="zh-CN"/>
        </w:rPr>
        <w:t>n</w:t>
      </w:r>
      <w:r>
        <w:rPr>
          <w:b/>
          <w:sz w:val="22"/>
          <w:szCs w:val="22"/>
        </w:rPr>
        <w:t>MS</w:t>
      </w:r>
    </w:p>
    <w:tbl>
      <w:tblPr>
        <w:tblStyle w:val="5"/>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353"/>
        <w:gridCol w:w="1177"/>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w:t>
            </w:r>
          </w:p>
        </w:tc>
        <w:tc>
          <w:tcPr>
            <w:tcW w:w="5325" w:type="dxa"/>
            <w:gridSpan w:val="4"/>
            <w:tcBorders>
              <w:top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浙江泰福泵业股份有限公司</w:t>
            </w:r>
          </w:p>
        </w:tc>
        <w:tc>
          <w:tcPr>
            <w:tcW w:w="1720" w:type="dxa"/>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1379" w:type="dxa"/>
            <w:tcBorders>
              <w:top w:val="single" w:color="auto" w:sz="8" w:space="0"/>
            </w:tcBorders>
            <w:vAlign w:val="center"/>
          </w:tcPr>
          <w:p>
            <w:pPr>
              <w:snapToGrid w:val="0"/>
              <w:spacing w:line="280" w:lineRule="exact"/>
              <w:ind w:left="52"/>
              <w:jc w:val="center"/>
              <w:rPr>
                <w:b/>
                <w:sz w:val="20"/>
              </w:rPr>
            </w:pPr>
            <w:bookmarkStart w:id="4" w:name="专业代码"/>
            <w:r>
              <w:rPr>
                <w:b/>
                <w:sz w:val="20"/>
              </w:rPr>
              <w:t>2.10</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ind w:firstLine="602" w:firstLineChars="300"/>
              <w:jc w:val="both"/>
              <w:rPr>
                <w:rFonts w:hint="default" w:eastAsia="宋体"/>
                <w:b/>
                <w:sz w:val="20"/>
                <w:lang w:val="en-US" w:eastAsia="zh-CN"/>
              </w:rPr>
            </w:pPr>
            <w:r>
              <w:rPr>
                <w:rFonts w:hint="eastAsia"/>
                <w:b/>
                <w:sz w:val="20"/>
                <w:lang w:val="en-US" w:eastAsia="zh-CN"/>
              </w:rPr>
              <w:t>林宏伟</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jc w:val="center"/>
              <w:rPr>
                <w:b/>
                <w:sz w:val="20"/>
              </w:rPr>
            </w:pPr>
            <w:r>
              <w:rPr>
                <w:b/>
                <w:sz w:val="20"/>
              </w:rPr>
              <w:t>2.10</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353"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周涛</w:t>
            </w:r>
          </w:p>
        </w:tc>
        <w:tc>
          <w:tcPr>
            <w:tcW w:w="1177"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马佳</w:t>
            </w: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vAlign w:val="center"/>
          </w:tcPr>
          <w:p>
            <w:pPr>
              <w:snapToGrid w:val="0"/>
              <w:spacing w:line="280" w:lineRule="exact"/>
              <w:jc w:val="center"/>
              <w:rPr>
                <w:b/>
                <w:sz w:val="20"/>
              </w:rPr>
            </w:pPr>
            <w:r>
              <w:rPr>
                <w:rFonts w:hint="eastAsia"/>
                <w:b/>
                <w:sz w:val="20"/>
              </w:rPr>
              <w:t>专业代码</w:t>
            </w:r>
          </w:p>
        </w:tc>
        <w:tc>
          <w:tcPr>
            <w:tcW w:w="1353" w:type="dxa"/>
            <w:vAlign w:val="center"/>
          </w:tcPr>
          <w:p>
            <w:pPr>
              <w:snapToGrid w:val="0"/>
              <w:spacing w:line="360" w:lineRule="exact"/>
              <w:jc w:val="center"/>
              <w:rPr>
                <w:b/>
                <w:sz w:val="20"/>
              </w:rPr>
            </w:pPr>
            <w:r>
              <w:rPr>
                <w:b/>
                <w:sz w:val="20"/>
              </w:rPr>
              <w:t>2.10</w:t>
            </w:r>
          </w:p>
        </w:tc>
        <w:tc>
          <w:tcPr>
            <w:tcW w:w="1177" w:type="dxa"/>
            <w:vAlign w:val="center"/>
          </w:tcPr>
          <w:p>
            <w:pPr>
              <w:snapToGrid w:val="0"/>
              <w:spacing w:line="360" w:lineRule="exact"/>
              <w:jc w:val="center"/>
              <w:rPr>
                <w:b/>
                <w:sz w:val="20"/>
              </w:rPr>
            </w:pPr>
            <w:r>
              <w:rPr>
                <w:b/>
                <w:sz w:val="20"/>
              </w:rPr>
              <w:t>2.10</w:t>
            </w: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6"/>
            <w:vAlign w:val="center"/>
          </w:tcPr>
          <w:p>
            <w:pPr>
              <w:snapToGrid w:val="0"/>
              <w:spacing w:line="240" w:lineRule="auto"/>
              <w:rPr>
                <w:rFonts w:hint="default" w:eastAsia="宋体"/>
                <w:b/>
                <w:sz w:val="20"/>
                <w:lang w:val="en-US" w:eastAsia="zh-CN"/>
              </w:rPr>
            </w:pPr>
            <w:r>
              <w:rPr>
                <w:rFonts w:hint="default" w:eastAsia="宋体"/>
                <w:b/>
                <w:sz w:val="20"/>
                <w:lang w:val="en-US" w:eastAsia="zh-CN"/>
              </w:rPr>
              <w:drawing>
                <wp:inline distT="0" distB="0" distL="114300" distR="114300">
                  <wp:extent cx="5026025" cy="1704975"/>
                  <wp:effectExtent l="0" t="0" r="3175" b="9525"/>
                  <wp:docPr id="1" name="图片 1" descr="陆上泵循环泵小型潜水泵生产工艺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陆上泵循环泵小型潜水泵生产工艺流程图"/>
                          <pic:cNvPicPr>
                            <a:picLocks noChangeAspect="1"/>
                          </pic:cNvPicPr>
                        </pic:nvPicPr>
                        <pic:blipFill>
                          <a:blip r:embed="rId5"/>
                          <a:stretch>
                            <a:fillRect/>
                          </a:stretch>
                        </pic:blipFill>
                        <pic:spPr>
                          <a:xfrm>
                            <a:off x="0" y="0"/>
                            <a:ext cx="5026025" cy="1704975"/>
                          </a:xfrm>
                          <a:prstGeom prst="rect">
                            <a:avLst/>
                          </a:prstGeom>
                        </pic:spPr>
                      </pic:pic>
                    </a:graphicData>
                  </a:graphic>
                </wp:inline>
              </w:drawing>
            </w:r>
            <w:r>
              <w:rPr>
                <w:rFonts w:hint="default" w:eastAsia="宋体"/>
                <w:b/>
                <w:sz w:val="20"/>
                <w:lang w:val="en-US" w:eastAsia="zh-CN"/>
              </w:rPr>
              <w:drawing>
                <wp:inline distT="0" distB="0" distL="114300" distR="114300">
                  <wp:extent cx="5035550" cy="1531620"/>
                  <wp:effectExtent l="0" t="0" r="6350" b="5080"/>
                  <wp:docPr id="4" name="图片 4" descr="井用潜水泵生产工艺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井用潜水泵生产工艺流程图"/>
                          <pic:cNvPicPr>
                            <a:picLocks noChangeAspect="1"/>
                          </pic:cNvPicPr>
                        </pic:nvPicPr>
                        <pic:blipFill>
                          <a:blip r:embed="rId6"/>
                          <a:stretch>
                            <a:fillRect/>
                          </a:stretch>
                        </pic:blipFill>
                        <pic:spPr>
                          <a:xfrm>
                            <a:off x="0" y="0"/>
                            <a:ext cx="5035550" cy="1531620"/>
                          </a:xfrm>
                          <a:prstGeom prst="rect">
                            <a:avLst/>
                          </a:prstGeom>
                        </pic:spPr>
                      </pic:pic>
                    </a:graphicData>
                  </a:graphic>
                </wp:inline>
              </w:drawing>
            </w:r>
            <w:r>
              <w:rPr>
                <w:rFonts w:hint="default" w:eastAsia="宋体"/>
                <w:b/>
                <w:sz w:val="20"/>
                <w:lang w:val="en-US" w:eastAsia="zh-CN"/>
              </w:rPr>
              <w:drawing>
                <wp:inline distT="0" distB="0" distL="114300" distR="114300">
                  <wp:extent cx="4971415" cy="2964815"/>
                  <wp:effectExtent l="0" t="0" r="6985" b="6985"/>
                  <wp:docPr id="5" name="图片 5" descr="节能泵生产工艺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节能泵生产工艺流程图"/>
                          <pic:cNvPicPr>
                            <a:picLocks noChangeAspect="1"/>
                          </pic:cNvPicPr>
                        </pic:nvPicPr>
                        <pic:blipFill>
                          <a:blip r:embed="rId7"/>
                          <a:stretch>
                            <a:fillRect/>
                          </a:stretch>
                        </pic:blipFill>
                        <pic:spPr>
                          <a:xfrm>
                            <a:off x="0" y="0"/>
                            <a:ext cx="4971415" cy="2964815"/>
                          </a:xfrm>
                          <a:prstGeom prst="rect">
                            <a:avLst/>
                          </a:prstGeom>
                        </pic:spPr>
                      </pic:pic>
                    </a:graphicData>
                  </a:graphic>
                </wp:inline>
              </w:drawing>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2249" w:type="dxa"/>
            <w:gridSpan w:val="2"/>
            <w:tcBorders>
              <w:left w:val="single" w:color="auto" w:sz="4" w:space="0"/>
            </w:tcBorders>
            <w:vAlign w:val="center"/>
          </w:tcPr>
          <w:p>
            <w:pPr>
              <w:snapToGrid w:val="0"/>
              <w:spacing w:line="280" w:lineRule="exact"/>
              <w:jc w:val="left"/>
              <w:rPr>
                <w:rFonts w:hint="default" w:eastAsia="宋体"/>
                <w:b/>
                <w:lang w:val="en-US" w:eastAsia="zh-CN"/>
              </w:rPr>
            </w:pPr>
            <w:r>
              <w:rPr>
                <w:rFonts w:hint="eastAsia"/>
                <w:b/>
                <w:sz w:val="20"/>
                <w:lang w:val="en-US" w:eastAsia="zh-CN"/>
              </w:rPr>
              <w:t>耗能设备</w:t>
            </w:r>
          </w:p>
        </w:tc>
        <w:tc>
          <w:tcPr>
            <w:tcW w:w="8424" w:type="dxa"/>
            <w:gridSpan w:val="6"/>
            <w:vAlign w:val="center"/>
          </w:tcPr>
          <w:p>
            <w:pPr>
              <w:keepNext w:val="0"/>
              <w:keepLines w:val="0"/>
              <w:widowControl/>
              <w:suppressLineNumbers w:val="0"/>
              <w:jc w:val="left"/>
              <w:rPr>
                <w:rFonts w:hint="default"/>
                <w:lang w:val="en-US"/>
              </w:rPr>
            </w:pPr>
            <w:r>
              <w:rPr>
                <w:rFonts w:hint="eastAsia"/>
                <w:b/>
                <w:sz w:val="20"/>
                <w:lang w:val="en-US" w:eastAsia="zh-CN"/>
              </w:rPr>
              <w:t>集中化铝炉、燃气式保温炉、压铸机、高速冲床、化铝电炉等</w:t>
            </w:r>
          </w:p>
          <w:p>
            <w:pPr>
              <w:snapToGrid w:val="0"/>
              <w:spacing w:line="280" w:lineRule="exact"/>
              <w:jc w:val="both"/>
              <w:rPr>
                <w:rFonts w:hint="default" w:eastAsia="宋体"/>
                <w:b/>
                <w:sz w:val="20"/>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249" w:type="dxa"/>
            <w:gridSpan w:val="2"/>
            <w:tcBorders>
              <w:left w:val="single" w:color="auto" w:sz="4"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耗能种类</w:t>
            </w:r>
          </w:p>
        </w:tc>
        <w:tc>
          <w:tcPr>
            <w:tcW w:w="8424" w:type="dxa"/>
            <w:gridSpan w:val="6"/>
            <w:vAlign w:val="center"/>
          </w:tcPr>
          <w:p>
            <w:pPr>
              <w:snapToGrid w:val="0"/>
              <w:spacing w:line="280" w:lineRule="exact"/>
              <w:jc w:val="left"/>
              <w:rPr>
                <w:rFonts w:hint="default" w:eastAsia="宋体"/>
                <w:b/>
                <w:sz w:val="20"/>
                <w:lang w:val="en-US" w:eastAsia="zh-CN"/>
              </w:rPr>
            </w:pPr>
            <w:r>
              <w:rPr>
                <w:rFonts w:hint="eastAsia"/>
                <w:b/>
                <w:sz w:val="20"/>
                <w:lang w:val="en-US" w:eastAsia="zh-CN"/>
              </w:rPr>
              <w:t>电力、天然气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6"/>
            <w:vAlign w:val="center"/>
          </w:tcPr>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1</w:t>
            </w:r>
            <w:r>
              <w:rPr>
                <w:rFonts w:hint="eastAsia"/>
                <w:b/>
                <w:sz w:val="20"/>
                <w:lang w:val="en-US" w:eastAsia="zh-CN"/>
              </w:rPr>
              <w:t xml:space="preserve">）《固定资产投资项目节能审查办法》（国家发展和改革委员会令 </w:t>
            </w:r>
            <w:r>
              <w:rPr>
                <w:rFonts w:hint="default"/>
                <w:b/>
                <w:sz w:val="20"/>
                <w:lang w:val="en-US" w:eastAsia="zh-CN"/>
              </w:rPr>
              <w:t xml:space="preserve">2016 </w:t>
            </w:r>
            <w:r>
              <w:rPr>
                <w:rFonts w:hint="eastAsia"/>
                <w:b/>
                <w:sz w:val="20"/>
                <w:lang w:val="en-US" w:eastAsia="zh-CN"/>
              </w:rPr>
              <w:t xml:space="preserve">年第 </w:t>
            </w:r>
            <w:r>
              <w:rPr>
                <w:rFonts w:hint="default"/>
                <w:b/>
                <w:sz w:val="20"/>
                <w:lang w:val="en-US" w:eastAsia="zh-CN"/>
              </w:rPr>
              <w:t xml:space="preserve">44 </w:t>
            </w:r>
            <w:r>
              <w:rPr>
                <w:rFonts w:hint="eastAsia"/>
                <w:b/>
                <w:sz w:val="20"/>
                <w:lang w:val="en-US" w:eastAsia="zh-CN"/>
              </w:rPr>
              <w:t xml:space="preserve">号）；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2</w:t>
            </w:r>
            <w:r>
              <w:rPr>
                <w:rFonts w:hint="eastAsia"/>
                <w:b/>
                <w:sz w:val="20"/>
                <w:lang w:val="en-US" w:eastAsia="zh-CN"/>
              </w:rPr>
              <w:t>）《</w:t>
            </w:r>
            <w:r>
              <w:rPr>
                <w:rFonts w:hint="default"/>
                <w:b/>
                <w:sz w:val="20"/>
                <w:lang w:val="en-US" w:eastAsia="zh-CN"/>
              </w:rPr>
              <w:t>“</w:t>
            </w:r>
            <w:r>
              <w:rPr>
                <w:rFonts w:hint="eastAsia"/>
                <w:b/>
                <w:sz w:val="20"/>
                <w:lang w:val="en-US" w:eastAsia="zh-CN"/>
              </w:rPr>
              <w:t>十三五</w:t>
            </w:r>
            <w:r>
              <w:rPr>
                <w:rFonts w:hint="default"/>
                <w:b/>
                <w:sz w:val="20"/>
                <w:lang w:val="en-US" w:eastAsia="zh-CN"/>
              </w:rPr>
              <w:t>”</w:t>
            </w:r>
            <w:r>
              <w:rPr>
                <w:rFonts w:hint="eastAsia"/>
                <w:b/>
                <w:sz w:val="20"/>
                <w:lang w:val="en-US" w:eastAsia="zh-CN"/>
              </w:rPr>
              <w:t>节能减排综合工作方案的通知》（国发〔</w:t>
            </w:r>
            <w:r>
              <w:rPr>
                <w:rFonts w:hint="default"/>
                <w:b/>
                <w:sz w:val="20"/>
                <w:lang w:val="en-US" w:eastAsia="zh-CN"/>
              </w:rPr>
              <w:t>2016</w:t>
            </w:r>
            <w:r>
              <w:rPr>
                <w:rFonts w:hint="eastAsia"/>
                <w:b/>
                <w:sz w:val="20"/>
                <w:lang w:val="en-US" w:eastAsia="zh-CN"/>
              </w:rPr>
              <w:t>〕</w:t>
            </w:r>
            <w:r>
              <w:rPr>
                <w:rFonts w:hint="default"/>
                <w:b/>
                <w:sz w:val="20"/>
                <w:lang w:val="en-US" w:eastAsia="zh-CN"/>
              </w:rPr>
              <w:t xml:space="preserve">74 </w:t>
            </w:r>
            <w:r>
              <w:rPr>
                <w:rFonts w:hint="eastAsia"/>
                <w:b/>
                <w:sz w:val="20"/>
                <w:lang w:val="en-US" w:eastAsia="zh-CN"/>
              </w:rPr>
              <w:t xml:space="preserve">号）；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3</w:t>
            </w:r>
            <w:r>
              <w:rPr>
                <w:rFonts w:hint="eastAsia"/>
                <w:b/>
                <w:sz w:val="20"/>
                <w:lang w:val="en-US" w:eastAsia="zh-CN"/>
              </w:rPr>
              <w:t>）《中华人民共和国节约能源法》（国家主席令〔</w:t>
            </w:r>
            <w:r>
              <w:rPr>
                <w:rFonts w:hint="default"/>
                <w:b/>
                <w:sz w:val="20"/>
                <w:lang w:val="en-US" w:eastAsia="zh-CN"/>
              </w:rPr>
              <w:t>2007</w:t>
            </w:r>
            <w:r>
              <w:rPr>
                <w:rFonts w:hint="eastAsia"/>
                <w:b/>
                <w:sz w:val="20"/>
                <w:lang w:val="en-US" w:eastAsia="zh-CN"/>
              </w:rPr>
              <w:t xml:space="preserve">〕第 </w:t>
            </w:r>
            <w:r>
              <w:rPr>
                <w:rFonts w:hint="default"/>
                <w:b/>
                <w:sz w:val="20"/>
                <w:lang w:val="en-US" w:eastAsia="zh-CN"/>
              </w:rPr>
              <w:t xml:space="preserve">77 </w:t>
            </w:r>
            <w:r>
              <w:rPr>
                <w:rFonts w:hint="eastAsia"/>
                <w:b/>
                <w:sz w:val="20"/>
                <w:lang w:val="en-US" w:eastAsia="zh-CN"/>
              </w:rPr>
              <w:t>号，</w:t>
            </w:r>
            <w:r>
              <w:rPr>
                <w:rFonts w:hint="default"/>
                <w:b/>
                <w:sz w:val="20"/>
                <w:lang w:val="en-US" w:eastAsia="zh-CN"/>
              </w:rPr>
              <w:t xml:space="preserve">2018 </w:t>
            </w:r>
            <w:r>
              <w:rPr>
                <w:rFonts w:hint="eastAsia"/>
                <w:b/>
                <w:sz w:val="20"/>
                <w:lang w:val="en-US" w:eastAsia="zh-CN"/>
              </w:rPr>
              <w:t xml:space="preserve">年修正）；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4</w:t>
            </w:r>
            <w:r>
              <w:rPr>
                <w:rFonts w:hint="eastAsia"/>
                <w:b/>
                <w:sz w:val="20"/>
                <w:lang w:val="en-US" w:eastAsia="zh-CN"/>
              </w:rPr>
              <w:t>）《高耗能落后机电设备（产品）淘汰目录》（第一～第四 批）；</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5</w:t>
            </w:r>
            <w:r>
              <w:rPr>
                <w:rFonts w:hint="eastAsia"/>
                <w:b/>
                <w:sz w:val="20"/>
                <w:lang w:val="en-US" w:eastAsia="zh-CN"/>
              </w:rPr>
              <w:t>）《产业结构调整指导目录（</w:t>
            </w:r>
            <w:r>
              <w:rPr>
                <w:rFonts w:hint="default"/>
                <w:b/>
                <w:sz w:val="20"/>
                <w:lang w:val="en-US" w:eastAsia="zh-CN"/>
              </w:rPr>
              <w:t xml:space="preserve">2019 </w:t>
            </w:r>
            <w:r>
              <w:rPr>
                <w:rFonts w:hint="eastAsia"/>
                <w:b/>
                <w:sz w:val="20"/>
                <w:lang w:val="en-US" w:eastAsia="zh-CN"/>
              </w:rPr>
              <w:t xml:space="preserve">年本）》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6</w:t>
            </w:r>
            <w:r>
              <w:rPr>
                <w:rFonts w:hint="eastAsia"/>
                <w:b/>
                <w:sz w:val="20"/>
                <w:lang w:val="en-US" w:eastAsia="zh-CN"/>
              </w:rPr>
              <w:t xml:space="preserve">）《节能机电产品（设备）推荐目录》（第一批～第四批） （工信部）；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7</w:t>
            </w:r>
            <w:r>
              <w:rPr>
                <w:rFonts w:hint="eastAsia"/>
                <w:b/>
                <w:sz w:val="20"/>
                <w:lang w:val="en-US" w:eastAsia="zh-CN"/>
              </w:rPr>
              <w:t xml:space="preserve">）《浙江省节能技术、产品推广导向目录》（第一～第七批）；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8</w:t>
            </w:r>
            <w:r>
              <w:rPr>
                <w:rFonts w:hint="eastAsia"/>
                <w:b/>
                <w:sz w:val="20"/>
                <w:lang w:val="en-US" w:eastAsia="zh-CN"/>
              </w:rPr>
              <w:t>）《浙江省节能审查办法》（浙发改能源〔</w:t>
            </w:r>
            <w:r>
              <w:rPr>
                <w:rFonts w:hint="default"/>
                <w:b/>
                <w:sz w:val="20"/>
                <w:lang w:val="en-US" w:eastAsia="zh-CN"/>
              </w:rPr>
              <w:t>2019</w:t>
            </w:r>
            <w:r>
              <w:rPr>
                <w:rFonts w:hint="eastAsia"/>
                <w:b/>
                <w:sz w:val="20"/>
                <w:lang w:val="en-US" w:eastAsia="zh-CN"/>
              </w:rPr>
              <w:t>〕</w:t>
            </w:r>
            <w:r>
              <w:rPr>
                <w:rFonts w:hint="default"/>
                <w:b/>
                <w:sz w:val="20"/>
                <w:lang w:val="en-US" w:eastAsia="zh-CN"/>
              </w:rPr>
              <w:t xml:space="preserve">532 </w:t>
            </w:r>
            <w:r>
              <w:rPr>
                <w:rFonts w:hint="eastAsia"/>
                <w:b/>
                <w:sz w:val="20"/>
                <w:lang w:val="en-US" w:eastAsia="zh-CN"/>
              </w:rPr>
              <w:t xml:space="preserve">号）；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9</w:t>
            </w:r>
            <w:r>
              <w:rPr>
                <w:rFonts w:hint="eastAsia"/>
                <w:b/>
                <w:sz w:val="20"/>
                <w:lang w:val="en-US" w:eastAsia="zh-CN"/>
              </w:rPr>
              <w:t>）浙江省实施《中华人民共和国节约能源法》办法（</w:t>
            </w:r>
            <w:r>
              <w:rPr>
                <w:rFonts w:hint="default"/>
                <w:b/>
                <w:sz w:val="20"/>
                <w:lang w:val="en-US" w:eastAsia="zh-CN"/>
              </w:rPr>
              <w:t xml:space="preserve">2021 </w:t>
            </w:r>
            <w:r>
              <w:rPr>
                <w:rFonts w:hint="eastAsia"/>
                <w:b/>
                <w:sz w:val="20"/>
                <w:lang w:val="en-US" w:eastAsia="zh-CN"/>
              </w:rPr>
              <w:t xml:space="preserve">年 修正文本）；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10</w:t>
            </w:r>
            <w:r>
              <w:rPr>
                <w:rFonts w:hint="eastAsia"/>
                <w:b/>
                <w:sz w:val="20"/>
                <w:lang w:val="en-US" w:eastAsia="zh-CN"/>
              </w:rPr>
              <w:t>）《浙江省固定资产投资项目节能评估导则 》（</w:t>
            </w:r>
            <w:r>
              <w:rPr>
                <w:rFonts w:hint="default"/>
                <w:b/>
                <w:sz w:val="20"/>
                <w:lang w:val="en-US" w:eastAsia="zh-CN"/>
              </w:rPr>
              <w:t>DB33∕T-862-2019</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11</w:t>
            </w:r>
            <w:r>
              <w:rPr>
                <w:rFonts w:hint="eastAsia"/>
                <w:b/>
                <w:sz w:val="20"/>
                <w:lang w:val="en-US" w:eastAsia="zh-CN"/>
              </w:rPr>
              <w:t>）《浙江省发展改革委、浙江省能源局关于进一步规范固定资产投资项目节能审查委托事项的通知》（浙能源〔</w:t>
            </w:r>
            <w:r>
              <w:rPr>
                <w:rFonts w:hint="default"/>
                <w:b/>
                <w:sz w:val="20"/>
                <w:lang w:val="en-US" w:eastAsia="zh-CN"/>
              </w:rPr>
              <w:t>2019</w:t>
            </w:r>
            <w:r>
              <w:rPr>
                <w:rFonts w:hint="eastAsia"/>
                <w:b/>
                <w:sz w:val="20"/>
                <w:lang w:val="en-US" w:eastAsia="zh-CN"/>
              </w:rPr>
              <w:t>〕</w:t>
            </w:r>
            <w:r>
              <w:rPr>
                <w:rFonts w:hint="default"/>
                <w:b/>
                <w:sz w:val="20"/>
                <w:lang w:val="en-US" w:eastAsia="zh-CN"/>
              </w:rPr>
              <w:t xml:space="preserve">11 </w:t>
            </w:r>
            <w:r>
              <w:rPr>
                <w:rFonts w:hint="eastAsia"/>
                <w:b/>
                <w:sz w:val="20"/>
                <w:lang w:val="en-US" w:eastAsia="zh-CN"/>
              </w:rPr>
              <w:t xml:space="preserve">号）；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12</w:t>
            </w:r>
            <w:r>
              <w:rPr>
                <w:rFonts w:hint="eastAsia"/>
                <w:b/>
                <w:sz w:val="20"/>
                <w:lang w:val="en-US" w:eastAsia="zh-CN"/>
              </w:rPr>
              <w:t>）《关于进一步加强固定资产投资项目和区域节能审查管理的意见》的通知（浙发改能源〔</w:t>
            </w:r>
            <w:r>
              <w:rPr>
                <w:rFonts w:hint="default"/>
                <w:b/>
                <w:sz w:val="20"/>
                <w:lang w:val="en-US" w:eastAsia="zh-CN"/>
              </w:rPr>
              <w:t>2021</w:t>
            </w:r>
            <w:r>
              <w:rPr>
                <w:rFonts w:hint="eastAsia"/>
                <w:b/>
                <w:sz w:val="20"/>
                <w:lang w:val="en-US" w:eastAsia="zh-CN"/>
              </w:rPr>
              <w:t>〕</w:t>
            </w:r>
            <w:r>
              <w:rPr>
                <w:rFonts w:hint="default"/>
                <w:b/>
                <w:sz w:val="20"/>
                <w:lang w:val="en-US" w:eastAsia="zh-CN"/>
              </w:rPr>
              <w:t xml:space="preserve">42 </w:t>
            </w:r>
            <w:r>
              <w:rPr>
                <w:rFonts w:hint="eastAsia"/>
                <w:b/>
                <w:sz w:val="20"/>
                <w:lang w:val="en-US" w:eastAsia="zh-CN"/>
              </w:rPr>
              <w:t xml:space="preserve">号）；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13</w:t>
            </w:r>
            <w:r>
              <w:rPr>
                <w:rFonts w:hint="eastAsia"/>
                <w:b/>
                <w:sz w:val="20"/>
                <w:lang w:val="en-US" w:eastAsia="zh-CN"/>
              </w:rPr>
              <w:t>）《关于进一步规范固定资产投资项目节能审查委托事项的通知》（台发改能源〔</w:t>
            </w:r>
            <w:r>
              <w:rPr>
                <w:rFonts w:hint="default"/>
                <w:b/>
                <w:sz w:val="20"/>
                <w:lang w:val="en-US" w:eastAsia="zh-CN"/>
              </w:rPr>
              <w:t>2019</w:t>
            </w:r>
            <w:r>
              <w:rPr>
                <w:rFonts w:hint="eastAsia"/>
                <w:b/>
                <w:sz w:val="20"/>
                <w:lang w:val="en-US" w:eastAsia="zh-CN"/>
              </w:rPr>
              <w:t>〕</w:t>
            </w:r>
            <w:r>
              <w:rPr>
                <w:rFonts w:hint="default"/>
                <w:b/>
                <w:sz w:val="20"/>
                <w:lang w:val="en-US" w:eastAsia="zh-CN"/>
              </w:rPr>
              <w:t xml:space="preserve">115 </w:t>
            </w:r>
            <w:r>
              <w:rPr>
                <w:rFonts w:hint="eastAsia"/>
                <w:b/>
                <w:sz w:val="20"/>
                <w:lang w:val="en-US" w:eastAsia="zh-CN"/>
              </w:rPr>
              <w:t xml:space="preserve">号）。 </w:t>
            </w:r>
          </w:p>
          <w:p>
            <w:pPr>
              <w:keepNext w:val="0"/>
              <w:keepLines w:val="0"/>
              <w:widowControl/>
              <w:suppressLineNumbers w:val="0"/>
              <w:jc w:val="left"/>
              <w:rPr>
                <w:rFonts w:hint="eastAsia"/>
                <w:b/>
                <w:sz w:val="20"/>
                <w:lang w:val="en-US" w:eastAsia="zh-CN"/>
              </w:rPr>
            </w:pPr>
            <w:r>
              <w:rPr>
                <w:rFonts w:hint="eastAsia"/>
                <w:b/>
                <w:sz w:val="20"/>
                <w:lang w:val="en-US" w:eastAsia="zh-CN"/>
              </w:rPr>
              <w:t>相关标准和规范</w:t>
            </w:r>
            <w:r>
              <w:rPr>
                <w:rFonts w:hint="default"/>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1</w:t>
            </w:r>
            <w:r>
              <w:rPr>
                <w:rFonts w:hint="eastAsia"/>
                <w:b/>
                <w:sz w:val="20"/>
                <w:lang w:val="en-US" w:eastAsia="zh-CN"/>
              </w:rPr>
              <w:t>）《用能单位能源计量器具配备和管理通则》</w:t>
            </w:r>
            <w:r>
              <w:rPr>
                <w:rFonts w:hint="default"/>
                <w:b/>
                <w:sz w:val="20"/>
                <w:lang w:val="en-US" w:eastAsia="zh-CN"/>
              </w:rPr>
              <w:t>GB 17167-2006</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2</w:t>
            </w:r>
            <w:r>
              <w:rPr>
                <w:rFonts w:hint="eastAsia"/>
                <w:b/>
                <w:sz w:val="20"/>
                <w:lang w:val="en-US" w:eastAsia="zh-CN"/>
              </w:rPr>
              <w:t>）《电动机能效限定值及能效等级》</w:t>
            </w:r>
            <w:r>
              <w:rPr>
                <w:rFonts w:hint="default"/>
                <w:b/>
                <w:sz w:val="20"/>
                <w:lang w:val="en-US" w:eastAsia="zh-CN"/>
              </w:rPr>
              <w:t>GB 18613-2020</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3</w:t>
            </w:r>
            <w:r>
              <w:rPr>
                <w:rFonts w:hint="eastAsia"/>
                <w:b/>
                <w:sz w:val="20"/>
                <w:lang w:val="en-US" w:eastAsia="zh-CN"/>
              </w:rPr>
              <w:t>）《普通照明用双端荧光灯能效限定值及能效等级》</w:t>
            </w:r>
            <w:r>
              <w:rPr>
                <w:rFonts w:hint="default"/>
                <w:b/>
                <w:sz w:val="20"/>
                <w:lang w:val="en-US" w:eastAsia="zh-CN"/>
              </w:rPr>
              <w:t>GB19043-2013</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4</w:t>
            </w:r>
            <w:r>
              <w:rPr>
                <w:rFonts w:hint="eastAsia"/>
                <w:b/>
                <w:sz w:val="20"/>
                <w:lang w:val="en-US" w:eastAsia="zh-CN"/>
              </w:rPr>
              <w:t>）容积式空气压缩机能效限定值及能效等级》</w:t>
            </w:r>
            <w:r>
              <w:rPr>
                <w:rFonts w:hint="default"/>
                <w:b/>
                <w:sz w:val="20"/>
                <w:lang w:val="en-US" w:eastAsia="zh-CN"/>
              </w:rPr>
              <w:t>GB19153-2019</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5</w:t>
            </w:r>
            <w:r>
              <w:rPr>
                <w:rFonts w:hint="eastAsia"/>
                <w:b/>
                <w:sz w:val="20"/>
                <w:lang w:val="en-US" w:eastAsia="zh-CN"/>
              </w:rPr>
              <w:t>）《清水离心泵能效限定值及节能评价值》</w:t>
            </w:r>
            <w:r>
              <w:rPr>
                <w:rFonts w:hint="default"/>
                <w:b/>
                <w:sz w:val="20"/>
                <w:lang w:val="en-US" w:eastAsia="zh-CN"/>
              </w:rPr>
              <w:t>GB 19762-2007</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6</w:t>
            </w:r>
            <w:r>
              <w:rPr>
                <w:rFonts w:hint="eastAsia"/>
                <w:b/>
                <w:sz w:val="20"/>
                <w:lang w:val="en-US" w:eastAsia="zh-CN"/>
              </w:rPr>
              <w:t>）《电力变压器能效限定值及能效等级》</w:t>
            </w:r>
            <w:r>
              <w:rPr>
                <w:rFonts w:hint="default"/>
                <w:b/>
                <w:sz w:val="20"/>
                <w:lang w:val="en-US" w:eastAsia="zh-CN"/>
              </w:rPr>
              <w:t>GB 20052-2020</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7</w:t>
            </w:r>
            <w:r>
              <w:rPr>
                <w:rFonts w:hint="eastAsia"/>
                <w:b/>
                <w:sz w:val="20"/>
                <w:lang w:val="en-US" w:eastAsia="zh-CN"/>
              </w:rPr>
              <w:t>）《建筑设计防火规范》</w:t>
            </w:r>
            <w:r>
              <w:rPr>
                <w:rFonts w:hint="default"/>
                <w:b/>
                <w:sz w:val="20"/>
                <w:lang w:val="en-US" w:eastAsia="zh-CN"/>
              </w:rPr>
              <w:t>GB 50016-2014</w:t>
            </w:r>
            <w:r>
              <w:rPr>
                <w:rFonts w:hint="eastAsia"/>
                <w:b/>
                <w:sz w:val="20"/>
                <w:lang w:val="en-US" w:eastAsia="zh-CN"/>
              </w:rPr>
              <w:t>（</w:t>
            </w:r>
            <w:r>
              <w:rPr>
                <w:rFonts w:hint="default"/>
                <w:b/>
                <w:sz w:val="20"/>
                <w:lang w:val="en-US" w:eastAsia="zh-CN"/>
              </w:rPr>
              <w:t xml:space="preserve">2018 </w:t>
            </w:r>
            <w:r>
              <w:rPr>
                <w:rFonts w:hint="eastAsia"/>
                <w:b/>
                <w:sz w:val="20"/>
                <w:lang w:val="en-US" w:eastAsia="zh-CN"/>
              </w:rPr>
              <w:t>年版）；</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8</w:t>
            </w:r>
            <w:r>
              <w:rPr>
                <w:rFonts w:hint="eastAsia"/>
                <w:b/>
                <w:sz w:val="20"/>
                <w:lang w:val="en-US" w:eastAsia="zh-CN"/>
              </w:rPr>
              <w:t>）《工业建筑供暖通风与空气调节设计规范》</w:t>
            </w:r>
            <w:r>
              <w:rPr>
                <w:rFonts w:hint="default"/>
                <w:b/>
                <w:sz w:val="20"/>
                <w:lang w:val="en-US" w:eastAsia="zh-CN"/>
              </w:rPr>
              <w:t>GB 50019-2015</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9</w:t>
            </w:r>
            <w:r>
              <w:rPr>
                <w:rFonts w:hint="eastAsia"/>
                <w:b/>
                <w:sz w:val="20"/>
                <w:lang w:val="en-US" w:eastAsia="zh-CN"/>
              </w:rPr>
              <w:t>）《建筑照明设计标准》</w:t>
            </w:r>
            <w:r>
              <w:rPr>
                <w:rFonts w:hint="default"/>
                <w:b/>
                <w:sz w:val="20"/>
                <w:lang w:val="en-US" w:eastAsia="zh-CN"/>
              </w:rPr>
              <w:t>GB 50034-2013</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10</w:t>
            </w:r>
            <w:r>
              <w:rPr>
                <w:rFonts w:hint="eastAsia"/>
                <w:b/>
                <w:sz w:val="20"/>
                <w:lang w:val="en-US" w:eastAsia="zh-CN"/>
              </w:rPr>
              <w:t>）《公共建筑节能设计标准》</w:t>
            </w:r>
            <w:r>
              <w:rPr>
                <w:rFonts w:hint="default"/>
                <w:b/>
                <w:sz w:val="20"/>
                <w:lang w:val="en-US" w:eastAsia="zh-CN"/>
              </w:rPr>
              <w:t>GB50189-2015</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11</w:t>
            </w:r>
            <w:r>
              <w:rPr>
                <w:rFonts w:hint="eastAsia"/>
                <w:b/>
                <w:sz w:val="20"/>
                <w:lang w:val="en-US" w:eastAsia="zh-CN"/>
              </w:rPr>
              <w:t>）《工业企业总平面设计规范》</w:t>
            </w:r>
            <w:r>
              <w:rPr>
                <w:rFonts w:hint="default"/>
                <w:b/>
                <w:sz w:val="20"/>
                <w:lang w:val="en-US" w:eastAsia="zh-CN"/>
              </w:rPr>
              <w:t>GB 50187-2012</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12</w:t>
            </w:r>
            <w:r>
              <w:rPr>
                <w:rFonts w:hint="eastAsia"/>
                <w:b/>
                <w:sz w:val="20"/>
                <w:lang w:val="en-US" w:eastAsia="zh-CN"/>
              </w:rPr>
              <w:t>）《综合能耗计算通则》</w:t>
            </w:r>
            <w:r>
              <w:rPr>
                <w:rFonts w:hint="default"/>
                <w:b/>
                <w:sz w:val="20"/>
                <w:lang w:val="en-US" w:eastAsia="zh-CN"/>
              </w:rPr>
              <w:t>GB/T 2589-2020</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13</w:t>
            </w:r>
            <w:r>
              <w:rPr>
                <w:rFonts w:hint="eastAsia"/>
                <w:b/>
                <w:sz w:val="20"/>
                <w:lang w:val="en-US" w:eastAsia="zh-CN"/>
              </w:rPr>
              <w:t>）《企业能量平衡通则》</w:t>
            </w:r>
            <w:r>
              <w:rPr>
                <w:rFonts w:hint="default"/>
                <w:b/>
                <w:sz w:val="20"/>
                <w:lang w:val="en-US" w:eastAsia="zh-CN"/>
              </w:rPr>
              <w:t>GB/T 3484-2009</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14</w:t>
            </w:r>
            <w:r>
              <w:rPr>
                <w:rFonts w:hint="eastAsia"/>
                <w:b/>
                <w:sz w:val="20"/>
                <w:lang w:val="en-US" w:eastAsia="zh-CN"/>
              </w:rPr>
              <w:t>）《评价企业合理用电技术导则》</w:t>
            </w:r>
            <w:r>
              <w:rPr>
                <w:rFonts w:hint="default"/>
                <w:b/>
                <w:sz w:val="20"/>
                <w:lang w:val="en-US" w:eastAsia="zh-CN"/>
              </w:rPr>
              <w:t>GB/T 3485-1998</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15</w:t>
            </w:r>
            <w:r>
              <w:rPr>
                <w:rFonts w:hint="eastAsia"/>
                <w:b/>
                <w:sz w:val="20"/>
                <w:lang w:val="en-US" w:eastAsia="zh-CN"/>
              </w:rPr>
              <w:t>）《用能设备能量测试导则》</w:t>
            </w:r>
            <w:r>
              <w:rPr>
                <w:rFonts w:hint="default"/>
                <w:b/>
                <w:sz w:val="20"/>
                <w:lang w:val="en-US" w:eastAsia="zh-CN"/>
              </w:rPr>
              <w:t>GB/T 6422-2009</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16</w:t>
            </w:r>
            <w:r>
              <w:rPr>
                <w:rFonts w:hint="eastAsia"/>
                <w:b/>
                <w:sz w:val="20"/>
                <w:lang w:val="en-US" w:eastAsia="zh-CN"/>
              </w:rPr>
              <w:t>）《节水型企业评价导则》</w:t>
            </w:r>
            <w:r>
              <w:rPr>
                <w:rFonts w:hint="default"/>
                <w:b/>
                <w:sz w:val="20"/>
                <w:lang w:val="en-US" w:eastAsia="zh-CN"/>
              </w:rPr>
              <w:t xml:space="preserve">GB/T 7119-2018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17</w:t>
            </w:r>
            <w:r>
              <w:rPr>
                <w:rFonts w:hint="eastAsia"/>
                <w:b/>
                <w:sz w:val="20"/>
                <w:lang w:val="en-US" w:eastAsia="zh-CN"/>
              </w:rPr>
              <w:t>）《用电设备电能平衡通则》</w:t>
            </w:r>
            <w:r>
              <w:rPr>
                <w:rFonts w:hint="default"/>
                <w:b/>
                <w:sz w:val="20"/>
                <w:lang w:val="en-US" w:eastAsia="zh-CN"/>
              </w:rPr>
              <w:t>GB/T 8222-2008</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18</w:t>
            </w:r>
            <w:r>
              <w:rPr>
                <w:rFonts w:hint="eastAsia"/>
                <w:b/>
                <w:sz w:val="20"/>
                <w:lang w:val="en-US" w:eastAsia="zh-CN"/>
              </w:rPr>
              <w:t>）《三相异步电动机经济运行》</w:t>
            </w:r>
            <w:r>
              <w:rPr>
                <w:rFonts w:hint="default"/>
                <w:b/>
                <w:sz w:val="20"/>
                <w:lang w:val="en-US" w:eastAsia="zh-CN"/>
              </w:rPr>
              <w:t>GB/T 12497-2006</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19</w:t>
            </w:r>
            <w:r>
              <w:rPr>
                <w:rFonts w:hint="eastAsia"/>
                <w:b/>
                <w:sz w:val="20"/>
                <w:lang w:val="en-US" w:eastAsia="zh-CN"/>
              </w:rPr>
              <w:t>）《单位产品能源消耗限额编制通则》</w:t>
            </w:r>
            <w:r>
              <w:rPr>
                <w:rFonts w:hint="default"/>
                <w:b/>
                <w:sz w:val="20"/>
                <w:lang w:val="en-US" w:eastAsia="zh-CN"/>
              </w:rPr>
              <w:t>GB/T 12723-2013</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20</w:t>
            </w:r>
            <w:r>
              <w:rPr>
                <w:rFonts w:hint="eastAsia"/>
                <w:b/>
                <w:sz w:val="20"/>
                <w:lang w:val="en-US" w:eastAsia="zh-CN"/>
              </w:rPr>
              <w:t>）《电力变压器经济运行》</w:t>
            </w:r>
            <w:r>
              <w:rPr>
                <w:rFonts w:hint="default"/>
                <w:b/>
                <w:sz w:val="20"/>
                <w:lang w:val="en-US" w:eastAsia="zh-CN"/>
              </w:rPr>
              <w:t>GB/T 13462-2008</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21</w:t>
            </w:r>
            <w:r>
              <w:rPr>
                <w:rFonts w:hint="eastAsia"/>
                <w:b/>
                <w:sz w:val="20"/>
                <w:lang w:val="en-US" w:eastAsia="zh-CN"/>
              </w:rPr>
              <w:t>）《节电技术经济效益计算与评价方法》</w:t>
            </w:r>
            <w:r>
              <w:rPr>
                <w:rFonts w:hint="default"/>
                <w:b/>
                <w:sz w:val="20"/>
                <w:lang w:val="en-US" w:eastAsia="zh-CN"/>
              </w:rPr>
              <w:t>GB/T 13471-2008</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22</w:t>
            </w:r>
            <w:r>
              <w:rPr>
                <w:rFonts w:hint="eastAsia"/>
                <w:b/>
                <w:sz w:val="20"/>
                <w:lang w:val="en-US" w:eastAsia="zh-CN"/>
              </w:rPr>
              <w:t>）《节能监测技术通则》</w:t>
            </w:r>
            <w:r>
              <w:rPr>
                <w:rFonts w:hint="default"/>
                <w:b/>
                <w:sz w:val="20"/>
                <w:lang w:val="en-US" w:eastAsia="zh-CN"/>
              </w:rPr>
              <w:t>GB/T 15316-2009</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23</w:t>
            </w:r>
            <w:r>
              <w:rPr>
                <w:rFonts w:hint="eastAsia"/>
                <w:b/>
                <w:sz w:val="20"/>
                <w:lang w:val="en-US" w:eastAsia="zh-CN"/>
              </w:rPr>
              <w:t>）《工业企业能源管理导则》</w:t>
            </w:r>
            <w:r>
              <w:rPr>
                <w:rFonts w:hint="default"/>
                <w:b/>
                <w:sz w:val="20"/>
                <w:lang w:val="en-US" w:eastAsia="zh-CN"/>
              </w:rPr>
              <w:t>GB/T 15587-2008</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24</w:t>
            </w:r>
            <w:r>
              <w:rPr>
                <w:rFonts w:hint="eastAsia"/>
                <w:b/>
                <w:sz w:val="20"/>
                <w:lang w:val="en-US" w:eastAsia="zh-CN"/>
              </w:rPr>
              <w:t>）《企业供配电系统节能监测方法》</w:t>
            </w:r>
            <w:r>
              <w:rPr>
                <w:rFonts w:hint="default"/>
                <w:b/>
                <w:sz w:val="20"/>
                <w:lang w:val="en-US" w:eastAsia="zh-CN"/>
              </w:rPr>
              <w:t>GB/T 16664-1996</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25</w:t>
            </w:r>
            <w:r>
              <w:rPr>
                <w:rFonts w:hint="eastAsia"/>
                <w:b/>
                <w:sz w:val="20"/>
                <w:lang w:val="en-US" w:eastAsia="zh-CN"/>
              </w:rPr>
              <w:t>）《空气压缩机组及供气系统节能监测》</w:t>
            </w:r>
            <w:r>
              <w:rPr>
                <w:rFonts w:hint="default"/>
                <w:b/>
                <w:sz w:val="20"/>
                <w:lang w:val="en-US" w:eastAsia="zh-CN"/>
              </w:rPr>
              <w:t>GB/T 16665-2017</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26</w:t>
            </w:r>
            <w:r>
              <w:rPr>
                <w:rFonts w:hint="eastAsia"/>
                <w:b/>
                <w:sz w:val="20"/>
                <w:lang w:val="en-US" w:eastAsia="zh-CN"/>
              </w:rPr>
              <w:t>）《交流电气装置的接地设计规范》</w:t>
            </w:r>
            <w:r>
              <w:rPr>
                <w:rFonts w:hint="default"/>
                <w:b/>
                <w:sz w:val="20"/>
                <w:lang w:val="en-US" w:eastAsia="zh-CN"/>
              </w:rPr>
              <w:t>GB /T 50065-2011</w:t>
            </w:r>
            <w:r>
              <w:rPr>
                <w:rFonts w:hint="eastAsia"/>
                <w:b/>
                <w:sz w:val="20"/>
                <w:lang w:val="en-US" w:eastAsia="zh-CN"/>
              </w:rPr>
              <w:t xml:space="preserve">； </w:t>
            </w:r>
          </w:p>
          <w:p>
            <w:pPr>
              <w:keepNext w:val="0"/>
              <w:keepLines w:val="0"/>
              <w:widowControl/>
              <w:suppressLineNumbers w:val="0"/>
              <w:jc w:val="left"/>
            </w:pPr>
            <w:r>
              <w:rPr>
                <w:rFonts w:hint="eastAsia"/>
                <w:b/>
                <w:sz w:val="20"/>
                <w:lang w:val="en-US" w:eastAsia="zh-CN"/>
              </w:rPr>
              <w:t>（</w:t>
            </w:r>
            <w:r>
              <w:rPr>
                <w:rFonts w:hint="default"/>
                <w:b/>
                <w:sz w:val="20"/>
                <w:lang w:val="en-US" w:eastAsia="zh-CN"/>
              </w:rPr>
              <w:t>27</w:t>
            </w:r>
            <w:r>
              <w:rPr>
                <w:rFonts w:hint="eastAsia"/>
                <w:b/>
                <w:sz w:val="20"/>
                <w:lang w:val="en-US" w:eastAsia="zh-CN"/>
              </w:rPr>
              <w:t>）《机械行业节能设计规范》</w:t>
            </w:r>
            <w:r>
              <w:rPr>
                <w:rFonts w:hint="default"/>
                <w:b/>
                <w:sz w:val="20"/>
                <w:lang w:val="en-US" w:eastAsia="zh-CN"/>
              </w:rPr>
              <w:t>JBJ14-2004</w:t>
            </w:r>
            <w:r>
              <w:rPr>
                <w:rFonts w:hint="eastAsia"/>
                <w:b/>
                <w:sz w:val="20"/>
                <w:lang w:val="en-US" w:eastAsia="zh-CN"/>
              </w:rPr>
              <w:t>。</w:t>
            </w:r>
          </w:p>
          <w:p>
            <w:pPr>
              <w:snapToGrid w:val="0"/>
              <w:spacing w:line="280" w:lineRule="exact"/>
              <w:jc w:val="both"/>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6"/>
            <w:vAlign w:val="center"/>
          </w:tcPr>
          <w:p>
            <w:pPr>
              <w:snapToGrid w:val="0"/>
              <w:spacing w:line="280" w:lineRule="exact"/>
              <w:jc w:val="center"/>
              <w:rPr>
                <w:rFonts w:hint="eastAsia" w:eastAsia="宋体"/>
                <w:b/>
                <w:sz w:val="20"/>
                <w:lang w:val="en-US" w:eastAsia="zh-CN"/>
              </w:rPr>
            </w:pPr>
            <w:r>
              <w:rPr>
                <w:rFonts w:hint="eastAsia"/>
                <w:b/>
                <w:sz w:val="20"/>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tcBorders>
              <w:bottom w:val="single" w:color="auto" w:sz="8" w:space="0"/>
            </w:tcBorders>
            <w:vAlign w:val="center"/>
          </w:tcPr>
          <w:p>
            <w:pPr>
              <w:snapToGrid w:val="0"/>
              <w:spacing w:line="280" w:lineRule="exact"/>
              <w:jc w:val="center"/>
              <w:rPr>
                <w:rFonts w:hint="eastAsia" w:eastAsia="宋体"/>
                <w:b/>
                <w:sz w:val="20"/>
                <w:lang w:val="en-US" w:eastAsia="zh-CN"/>
              </w:rPr>
            </w:pPr>
            <w:r>
              <w:rPr>
                <w:rFonts w:hint="eastAsia"/>
                <w:b/>
                <w:sz w:val="20"/>
                <w:lang w:val="en-US" w:eastAsia="zh-CN"/>
              </w:rPr>
              <w:t>无</w:t>
            </w:r>
          </w:p>
        </w:tc>
      </w:tr>
    </w:tbl>
    <w:p>
      <w:pPr>
        <w:snapToGrid w:val="0"/>
        <w:rPr>
          <w:rFonts w:ascii="宋体"/>
          <w:b/>
          <w:sz w:val="22"/>
          <w:szCs w:val="22"/>
        </w:rPr>
      </w:pPr>
      <w:r>
        <w:rPr>
          <w:rFonts w:hint="eastAsia" w:ascii="宋体" w:hAnsi="宋体"/>
          <w:b/>
          <w:color w:val="000000"/>
          <w:szCs w:val="21"/>
          <w:lang w:val="en-US" w:eastAsia="zh-CN"/>
        </w:rPr>
        <w:drawing>
          <wp:anchor distT="0" distB="0" distL="114300" distR="114300" simplePos="0" relativeHeight="251661312" behindDoc="0" locked="0" layoutInCell="1" allowOverlap="1">
            <wp:simplePos x="0" y="0"/>
            <wp:positionH relativeFrom="column">
              <wp:posOffset>1365885</wp:posOffset>
            </wp:positionH>
            <wp:positionV relativeFrom="paragraph">
              <wp:posOffset>78105</wp:posOffset>
            </wp:positionV>
            <wp:extent cx="736600" cy="388620"/>
            <wp:effectExtent l="0" t="0" r="0" b="5080"/>
            <wp:wrapSquare wrapText="bothSides"/>
            <wp:docPr id="6" name="图片 6" descr="89c2b22351be6b4880eac2bf596a0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9c2b22351be6b4880eac2bf596a0fc"/>
                    <pic:cNvPicPr>
                      <a:picLocks noChangeAspect="1"/>
                    </pic:cNvPicPr>
                  </pic:nvPicPr>
                  <pic:blipFill>
                    <a:blip r:embed="rId8">
                      <a:lum bright="42000"/>
                    </a:blip>
                    <a:stretch>
                      <a:fillRect/>
                    </a:stretch>
                  </pic:blipFill>
                  <pic:spPr>
                    <a:xfrm>
                      <a:off x="0" y="0"/>
                      <a:ext cx="736600" cy="388620"/>
                    </a:xfrm>
                    <a:prstGeom prst="rect">
                      <a:avLst/>
                    </a:prstGeom>
                  </pic:spPr>
                </pic:pic>
              </a:graphicData>
            </a:graphic>
          </wp:anchor>
        </w:drawing>
      </w:r>
      <w:r>
        <w:rPr>
          <w:rFonts w:hint="eastAsia" w:ascii="宋体" w:hAnsi="宋体"/>
        </w:rPr>
        <w:drawing>
          <wp:anchor distT="0" distB="0" distL="114300" distR="114300" simplePos="0" relativeHeight="251660288" behindDoc="0" locked="0" layoutInCell="1" allowOverlap="1">
            <wp:simplePos x="0" y="0"/>
            <wp:positionH relativeFrom="column">
              <wp:posOffset>3917315</wp:posOffset>
            </wp:positionH>
            <wp:positionV relativeFrom="page">
              <wp:posOffset>2606675</wp:posOffset>
            </wp:positionV>
            <wp:extent cx="570230" cy="435610"/>
            <wp:effectExtent l="0" t="0" r="1270" b="8890"/>
            <wp:wrapSquare wrapText="bothSides"/>
            <wp:docPr id="2"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553999692(1)"/>
                    <pic:cNvPicPr>
                      <a:picLocks noChangeAspect="1"/>
                    </pic:cNvPicPr>
                  </pic:nvPicPr>
                  <pic:blipFill>
                    <a:blip r:embed="rId9">
                      <a:lum bright="35999"/>
                    </a:blip>
                    <a:stretch>
                      <a:fillRect/>
                    </a:stretch>
                  </pic:blipFill>
                  <pic:spPr>
                    <a:xfrm>
                      <a:off x="0" y="0"/>
                      <a:ext cx="570230" cy="435610"/>
                    </a:xfrm>
                    <a:prstGeom prst="rect">
                      <a:avLst/>
                    </a:prstGeom>
                    <a:noFill/>
                    <a:ln>
                      <a:noFill/>
                    </a:ln>
                  </pic:spPr>
                </pic:pic>
              </a:graphicData>
            </a:graphic>
          </wp:anchor>
        </w:drawing>
      </w:r>
    </w:p>
    <w:p>
      <w:pPr>
        <w:snapToGrid w:val="0"/>
        <w:rPr>
          <w:rFonts w:ascii="宋体"/>
          <w:b/>
          <w:sz w:val="22"/>
          <w:szCs w:val="22"/>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2021.6.23</w:t>
      </w:r>
      <w:r>
        <w:rPr>
          <w:rFonts w:hint="eastAsia"/>
          <w:b/>
          <w:sz w:val="18"/>
          <w:szCs w:val="18"/>
        </w:rPr>
        <w:t xml:space="preserve">       </w:t>
      </w:r>
      <w:r>
        <w:rPr>
          <w:rFonts w:hint="eastAsia" w:ascii="宋体"/>
          <w:b/>
          <w:sz w:val="22"/>
          <w:szCs w:val="22"/>
        </w:rPr>
        <w:t>审核组长</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2021.6.23</w:t>
      </w:r>
      <w:r>
        <w:rPr>
          <w:rFonts w:hint="eastAsia"/>
          <w:b/>
          <w:sz w:val="18"/>
          <w:szCs w:val="18"/>
        </w:rPr>
        <w:t xml:space="preserve"> </w:t>
      </w:r>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bookmarkStart w:id="5" w:name="_GoBack"/>
      <w:bookmarkEnd w:id="5"/>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25.25pt;margin-top:2.2pt;height:20.2pt;width:159.25pt;z-index:251659264;mso-width-relative:page;mso-height-relative:page;" stroked="f" coordsize="21600,21600">
          <v:path/>
          <v:fill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-I-0</w:t>
                </w:r>
                <w:r>
                  <w:rPr>
                    <w:sz w:val="18"/>
                    <w:szCs w:val="18"/>
                  </w:rPr>
                  <w:t>6</w:t>
                </w:r>
                <w:r>
                  <w:rPr>
                    <w:rFonts w:hint="eastAsia"/>
                    <w:sz w:val="18"/>
                    <w:szCs w:val="18"/>
                  </w:rPr>
                  <w:t>专业培训记录(03版)</w:t>
                </w:r>
              </w:p>
            </w:txbxContent>
          </v:textbox>
        </v:shape>
      </w:pict>
    </w:r>
    <w:r>
      <w:rPr>
        <w:rStyle w:val="10"/>
        <w:rFonts w:hint="default"/>
        <w:w w:val="90"/>
      </w:rPr>
      <w:t>Beijing International Standard united Certification Co.,Ltd.</w:t>
    </w:r>
  </w:p>
  <w:p>
    <w:pPr>
      <w:pStyle w:val="4"/>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3B463BF"/>
    <w:rsid w:val="2DDE6C5F"/>
    <w:rsid w:val="37905965"/>
    <w:rsid w:val="461E6EE5"/>
    <w:rsid w:val="4B1A6B03"/>
    <w:rsid w:val="4F86712C"/>
    <w:rsid w:val="6189056C"/>
    <w:rsid w:val="637249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locked/>
    <w:uiPriority w:val="99"/>
    <w:rPr>
      <w:rFonts w:ascii="Times New Roman" w:hAnsi="Times New Roman" w:eastAsia="宋体" w:cs="Times New Roman"/>
      <w:sz w:val="18"/>
      <w:szCs w:val="18"/>
    </w:rPr>
  </w:style>
  <w:style w:type="character" w:customStyle="1" w:styleId="8">
    <w:name w:val="页眉 字符"/>
    <w:link w:val="4"/>
    <w:qFormat/>
    <w:locked/>
    <w:uiPriority w:val="99"/>
    <w:rPr>
      <w:rFonts w:ascii="Times New Roman" w:hAnsi="Times New Roman" w:eastAsia="宋体" w:cs="Times New Roman"/>
      <w:sz w:val="18"/>
      <w:szCs w:val="18"/>
    </w:rPr>
  </w:style>
  <w:style w:type="character" w:customStyle="1" w:styleId="9">
    <w:name w:val="批注框文本 字符"/>
    <w:link w:val="2"/>
    <w:semiHidden/>
    <w:qFormat/>
    <w:uiPriority w:val="99"/>
    <w:rPr>
      <w:rFonts w:ascii="Times New Roman" w:hAnsi="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47</Words>
  <Characters>268</Characters>
  <Lines>2</Lines>
  <Paragraphs>1</Paragraphs>
  <TotalTime>1</TotalTime>
  <ScaleCrop>false</ScaleCrop>
  <LinksUpToDate>false</LinksUpToDate>
  <CharactersWithSpaces>314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Lenovo</cp:lastModifiedBy>
  <dcterms:modified xsi:type="dcterms:W3CDTF">2021-07-06T01:39:09Z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C06B15D0DFD04B108B087EF8BBB288FB</vt:lpwstr>
  </property>
</Properties>
</file>