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76"/>
        <w:gridCol w:w="917"/>
        <w:gridCol w:w="173"/>
        <w:gridCol w:w="2220"/>
        <w:gridCol w:w="200"/>
        <w:gridCol w:w="190"/>
        <w:gridCol w:w="440"/>
        <w:gridCol w:w="670"/>
        <w:gridCol w:w="26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浙江泰福泵业股份有限公司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浙江省台州市温岭市松门镇东南工业园区（海天名苑小区往东800米）/温岭市东部新区龙门大道5号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张行蓉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0576-86308275</w:t>
            </w:r>
            <w:bookmarkEnd w:id="3"/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317511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1776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420" w:type="dxa"/>
            <w:gridSpan w:val="2"/>
            <w:vAlign w:val="center"/>
          </w:tcPr>
          <w:p>
            <w:bookmarkStart w:id="6" w:name="联系人传真"/>
            <w:r>
              <w:t>0576-86308275</w:t>
            </w:r>
            <w:bookmarkEnd w:id="6"/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361502601@QQ.COM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0654-2021-EnMs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7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水泵的研发和生产相关的能源管理活动</w:t>
            </w:r>
            <w:bookmarkEnd w:id="13"/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2.10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b/>
                <w:sz w:val="20"/>
                <w:lang w:val="de-DE"/>
              </w:rPr>
            </w:pPr>
            <w:bookmarkStart w:id="16" w:name="_GoBack"/>
            <w:r>
              <w:rPr>
                <w:rFonts w:hint="eastAsia" w:ascii="宋体" w:hAnsi="宋体"/>
                <w:b/>
                <w:color w:val="000000"/>
                <w:sz w:val="20"/>
                <w:highlight w:val="yellow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color w:val="000000"/>
                <w:sz w:val="20"/>
                <w:highlight w:val="yellow"/>
                <w:lang w:val="de-DE"/>
              </w:rPr>
              <w:t xml:space="preserve">ISO50001：2018标准 </w:t>
            </w:r>
            <w:r>
              <w:rPr>
                <w:rFonts w:hint="eastAsia" w:ascii="宋体" w:hAnsi="宋体"/>
                <w:b/>
                <w:color w:val="000000"/>
                <w:sz w:val="20"/>
                <w:highlight w:val="yellow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0"/>
                <w:highlight w:val="yellow"/>
                <w:lang w:val="de-DE" w:eastAsia="zh-CN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0"/>
                <w:highlight w:val="yellow"/>
                <w:lang w:val="en-US" w:eastAsia="zh-CN"/>
              </w:rPr>
              <w:t xml:space="preserve">RB/T </w:t>
            </w:r>
            <w:r>
              <w:rPr>
                <w:rFonts w:hint="eastAsia" w:ascii="宋体" w:hAnsi="宋体"/>
                <w:b/>
                <w:color w:val="000000"/>
                <w:sz w:val="20"/>
                <w:highlight w:val="yellow"/>
                <w:lang w:val="de-DE"/>
              </w:rPr>
              <w:t>119-2015《能源管理体系 机械制造企业认证要求》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2021年07月02日 下午至2021年07月04日 下午 (共2.5天)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13701012828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ISC-61499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林宏伟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15868628767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ISC-JSZJ-336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59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20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3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2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20" w:type="dxa"/>
            <w:gridSpan w:val="3"/>
            <w:vAlign w:val="center"/>
          </w:tcPr>
          <w:p/>
        </w:tc>
      </w:tr>
    </w:tbl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（12:00-13:00午餐）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（17:00-19:00车间夜班审核）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（夜班巡视铝液熔化过程能耗情况）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00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补充审核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00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87DFA"/>
    <w:rsid w:val="47E56318"/>
    <w:rsid w:val="51732CC8"/>
    <w:rsid w:val="57962A90"/>
    <w:rsid w:val="5F315A75"/>
    <w:rsid w:val="75A05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2021-07-05T06:51:43Z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C85155360BA148CA99D8CF8F08D98F8B</vt:lpwstr>
  </property>
</Properties>
</file>