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sz w:val="20"/>
              </w:rPr>
              <w:t>浙江泰福泵业股份有限公司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IS050001:2018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0654-2021-EnMs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林宏伟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rPr>
                <w:sz w:val="22"/>
                <w:szCs w:val="22"/>
                <w:highlight w:val="yellow"/>
              </w:rPr>
            </w:pPr>
            <w:r>
              <w:rPr>
                <w:sz w:val="22"/>
                <w:szCs w:val="22"/>
                <w:highlight w:val="yellow"/>
              </w:rPr>
              <w:t>ISC-JSZJ-336</w:t>
            </w:r>
            <w:r>
              <w:rPr>
                <w:rFonts w:hint="eastAsia"/>
                <w:sz w:val="22"/>
                <w:szCs w:val="22"/>
                <w:highlight w:val="yellow"/>
                <w:lang w:val="en-US" w:eastAsia="zh-CN"/>
              </w:rPr>
              <w:t xml:space="preserve">   </w:t>
            </w:r>
            <w:r>
              <w:rPr>
                <w:sz w:val="22"/>
                <w:szCs w:val="22"/>
                <w:highlight w:val="yellow"/>
              </w:rPr>
              <w:t>上海凯仕泵业集团有限公司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2021.6.30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285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2021-06-30T00:45:01Z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DD89183F87A949EF8C92D946B8EBC661</vt:lpwstr>
  </property>
</Properties>
</file>