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管理层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bookmarkStart w:id="0" w:name="联系人"/>
            <w:r>
              <w:t>张行蓉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周涛、林宏伟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2021.6.30-2021.7.1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913310816100020466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1993-05-21 至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一般项目：泵及真空设备制造；泵及真空设备销售；电机制造；风机、风扇制造；风机、风扇销售；气体压缩机械制造；气体压缩机械销售；非金属矿物制品制造；集成电路制造；集成电路销售；半导体器件专用设备制造；半导体器件专用设备销售；汽车零部件及配件制造；摩托车零配件制造；塑料制品制造；塑料制品销售；机械零件、零部件销售；水资源专用机械设备制造；配电开关控制设备制造；配电开关控制设备销售；特种设备销售；工业自动控制系统装置制造；工业自动控制系统装置销售；通用设备制造（不含特种设备制造）；变压器、整流器和电感器制造；电容器及其配套设备制造；电容器及其配套设备销售；发电机及发电机组制造；发电机及发电机组销售；光伏设备及元器件制造；光伏设备及元器件销售；风动和电动工具制造；风动和电动工具销售；金属工具制造；五金产品批发；非居住房地产租赁；电线、电缆经营；机械零件、零部件加工；有色金属压延加工(除依法须经批准的项目外，凭营业执照依法自主开展经营活动)。许可项目：货物进出口；技术进出口；电线、电缆制造；道路货物运输（不含危险货物）(依法须经批准的项目，经相关部门批准后方可开展经营活动，具体经营项目以审批结果为准)。(分支机构经营场所设在：温岭市东部新区龙门大道5号)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1" w:name="审核范围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水泵的研发和生产相关的能源管理活动</w:t>
            </w:r>
            <w:bookmarkEnd w:id="1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>浙江省台州市温岭市松门镇东南工业园区（海天名苑小区往东800米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4"/>
                <w:szCs w:val="14"/>
                <w:shd w:val="clear" w:fill="FFFFFF"/>
              </w:rPr>
              <w:t>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2" w:name="生产地址"/>
            <w:r>
              <w:rPr>
                <w:rFonts w:hint="eastAsia"/>
                <w:color w:val="000000"/>
                <w:szCs w:val="21"/>
                <w:u w:val="single"/>
              </w:rPr>
              <w:t>浙江省台州市温岭市松门镇东南工业园区（海天名苑小区往东800米）/温岭市东部新区龙门大道5号</w:t>
            </w:r>
            <w:bookmarkEnd w:id="2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浙江省台州市温岭市松门镇东南工业园区（海天名苑小区往东800米）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温岭市东部新区龙门大道5号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3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120765" cy="2837180"/>
                  <wp:effectExtent l="0" t="0" r="635" b="7620"/>
                  <wp:docPr id="5" name="图片 5" descr="节能泵生产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节能泵生产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83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79490" cy="2062480"/>
                  <wp:effectExtent l="0" t="0" r="3810" b="7620"/>
                  <wp:docPr id="2" name="图片 2" descr="陆上泵循环泵小型潜水泵生产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陆上泵循环泵小型潜水泵生产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9490" cy="206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118860" cy="1861185"/>
                  <wp:effectExtent l="0" t="0" r="2540" b="5715"/>
                  <wp:docPr id="4" name="图片 4" descr="井用潜水泵生产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井用潜水泵生产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860" cy="186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" w:name="_GoBack"/>
            <w:bookmarkEnd w:id="4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617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管理人员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人；操作人员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385</w:t>
            </w:r>
            <w:r>
              <w:rPr>
                <w:rFonts w:hint="eastAsia"/>
                <w:color w:val="000000"/>
                <w:szCs w:val="21"/>
              </w:rPr>
              <w:t>人；劳务派遣人员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人；临时工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人；季节工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u w:val="none"/>
              </w:rPr>
              <w:t xml:space="preserve"> 确定外部提供过程、产品和服务（外包过程）：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矽钢片，铜，铝锭，塑料粒子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35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严格贯彻节能法律法规，履行节能降耗相关要求；提供资源促进节能进步，持续改进能源管理绩效；形成节能降耗长效机制，构建节约环保绿色企业</w:t>
            </w:r>
            <w:r>
              <w:rPr>
                <w:color w:val="000000"/>
                <w:szCs w:val="18"/>
                <w:u w:val="single"/>
                <w:lang w:eastAsia="zh-CN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4"/>
              <w:gridCol w:w="1950"/>
              <w:gridCol w:w="2212"/>
              <w:gridCol w:w="31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9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221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31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1.43kgce/台</w:t>
                  </w:r>
                </w:p>
              </w:tc>
              <w:tc>
                <w:tcPr>
                  <w:tcW w:w="195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  <w:t>每年考核一次</w:t>
                  </w:r>
                </w:p>
              </w:tc>
              <w:tc>
                <w:tcPr>
                  <w:tcW w:w="221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年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耗能量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/年产量（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台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）</w:t>
                  </w:r>
                </w:p>
              </w:tc>
              <w:tc>
                <w:tcPr>
                  <w:tcW w:w="3137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1.47kgce/台</w:t>
                  </w:r>
                </w:p>
                <w:p>
                  <w:pPr>
                    <w:pStyle w:val="2"/>
                    <w:rPr>
                      <w:rFonts w:hint="default"/>
                      <w:color w:val="auto"/>
                      <w:lang w:val="en-US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  <w:t>未完成目标，差0.04kgce/台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2021年0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0日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主要原因是融化炉采用天然气后，单位产品能耗有所增加，但是天然气的价格比电力的价格低，总成本将本了。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</w:t>
            </w:r>
            <w:r>
              <w:rPr>
                <w:rFonts w:hint="eastAsia"/>
                <w:color w:val="FF0000"/>
                <w:szCs w:val="18"/>
              </w:rPr>
              <w:t>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154.84万台      能评为120 万台。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能源评估的产能只是新厂区（</w:t>
            </w:r>
            <w:r>
              <w:rPr>
                <w:rFonts w:hint="eastAsia"/>
                <w:color w:val="000000"/>
                <w:szCs w:val="21"/>
                <w:u w:val="single"/>
              </w:rPr>
              <w:t>浙江省台州市温岭市松门镇东南工业园区（海天名苑小区往东800米）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）的产能，不包括老厂区（</w:t>
            </w:r>
            <w:r>
              <w:rPr>
                <w:rFonts w:hint="eastAsia"/>
                <w:color w:val="000000"/>
                <w:szCs w:val="21"/>
                <w:u w:val="single"/>
              </w:rPr>
              <w:t>温岭市东部新区龙门大道5号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）的产能。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节能评估报告》编号：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2018-331081-34-03-045120-000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结论：浙江泰福泵业股份有限公司年产120万台水泵建设项目符合国家和浙江省相关产业政策，与当地城市总体规划、土地利用规划及产业布局相符合。  本项目采用先进节能的生产设备，可以有效的降低能源的消耗，提高能源利用效率，降低企业整体能耗水平。本项目的实施，有助于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降低企业能耗水平及能资源成本，提高产品的市场竞争能力，增强企业竞争实力，为产品占领市场奠定基础，有利于提高企业的经济效益和社会效益，同时有利于当地主导产业的发展和经济的转型升级。</w:t>
            </w:r>
            <w:r>
              <w:rPr>
                <w:rFonts w:hint="eastAsia" w:cs="Times New Roman"/>
                <w:color w:val="FF0000"/>
                <w:szCs w:val="18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default" w:eastAsia="宋体"/>
                <w:color w:val="FF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WL002-B0304-2021-4001。                     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同意项目通过审查。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</w:t>
            </w:r>
            <w:r>
              <w:rPr>
                <w:rFonts w:hint="eastAsia"/>
                <w:highlight w:val="none"/>
                <w:lang w:val="en-US" w:eastAsia="zh-CN"/>
              </w:rPr>
              <w:t>评审</w:t>
            </w:r>
            <w:r>
              <w:rPr>
                <w:rFonts w:hint="eastAsia"/>
                <w:highlight w:val="none"/>
              </w:rPr>
              <w:t>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告》编号：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TFNYPS-2021-01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2021年 5 月 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公司在主要能耗设备融化炉采用天然气后，单位产品能耗有所增加。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近一年是否进行了技术改进？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szCs w:val="18"/>
              </w:rPr>
              <w:t>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>-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用能单位            配备率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主要次级用能单位</w:t>
            </w:r>
            <w:r>
              <w:rPr>
                <w:rFonts w:hint="eastAsia"/>
                <w:color w:val="auto"/>
                <w:szCs w:val="18"/>
              </w:rPr>
              <w:t xml:space="preserve">    配备率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主要用能设备        配备率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电表和水表由供应机构负责检定/校准。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61D3B47"/>
    <w:rsid w:val="07687D49"/>
    <w:rsid w:val="089D2465"/>
    <w:rsid w:val="093D63C6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0E7E91"/>
    <w:rsid w:val="131B209B"/>
    <w:rsid w:val="13890C34"/>
    <w:rsid w:val="13E82B63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380519"/>
    <w:rsid w:val="1C5A0E97"/>
    <w:rsid w:val="1C633876"/>
    <w:rsid w:val="1CB32766"/>
    <w:rsid w:val="1D811AD4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CDF6E28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9D74449"/>
    <w:rsid w:val="3A242819"/>
    <w:rsid w:val="3AC608CB"/>
    <w:rsid w:val="3B7B49E9"/>
    <w:rsid w:val="3BBB3FFC"/>
    <w:rsid w:val="3BE22D59"/>
    <w:rsid w:val="3C4A64C8"/>
    <w:rsid w:val="3D095854"/>
    <w:rsid w:val="3D1E51E8"/>
    <w:rsid w:val="3D207B84"/>
    <w:rsid w:val="3D4A1740"/>
    <w:rsid w:val="3D662E26"/>
    <w:rsid w:val="3EBF4EFB"/>
    <w:rsid w:val="40A40502"/>
    <w:rsid w:val="40D80BB8"/>
    <w:rsid w:val="40D92CA7"/>
    <w:rsid w:val="413D1451"/>
    <w:rsid w:val="42D3718C"/>
    <w:rsid w:val="42E55256"/>
    <w:rsid w:val="433C48C1"/>
    <w:rsid w:val="44E8380F"/>
    <w:rsid w:val="44FC1CFD"/>
    <w:rsid w:val="458A3894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BA497E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4646EF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6953E9"/>
    <w:rsid w:val="6C7B045A"/>
    <w:rsid w:val="6CAF4B0F"/>
    <w:rsid w:val="6CB05831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4234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1</TotalTime>
  <ScaleCrop>false</ScaleCrop>
  <LinksUpToDate>false</LinksUpToDate>
  <CharactersWithSpaces>18121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2021-07-06T00:54:13Z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F022D71CE2FB43DDAF701D8118C0D84B</vt:lpwstr>
  </property>
</Properties>
</file>