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rFonts w:hint="eastAsia" w:eastAsia="宋体"/>
                <w:sz w:val="24"/>
                <w:szCs w:val="24"/>
                <w:lang w:eastAsia="zh-CN"/>
              </w:rPr>
            </w:pPr>
            <w:r>
              <w:rPr>
                <w:rFonts w:hint="eastAsia"/>
                <w:sz w:val="24"/>
                <w:szCs w:val="24"/>
              </w:rPr>
              <w:t>主管领导：黄志华</w:t>
            </w:r>
            <w:r>
              <w:rPr>
                <w:rFonts w:hint="eastAsia"/>
                <w:sz w:val="24"/>
                <w:szCs w:val="24"/>
                <w:lang w:val="en-US" w:eastAsia="zh-CN"/>
              </w:rPr>
              <w:t xml:space="preserve"> </w:t>
            </w:r>
            <w:r>
              <w:rPr>
                <w:rFonts w:hint="eastAsia"/>
                <w:sz w:val="24"/>
                <w:szCs w:val="24"/>
              </w:rPr>
              <w:t>总经理：黄志华</w:t>
            </w:r>
            <w:r>
              <w:rPr>
                <w:sz w:val="24"/>
                <w:szCs w:val="24"/>
              </w:rPr>
              <w:tab/>
            </w:r>
            <w:r>
              <w:rPr>
                <w:rFonts w:hint="eastAsia"/>
                <w:sz w:val="24"/>
                <w:szCs w:val="24"/>
                <w:lang w:val="en-US" w:eastAsia="zh-CN"/>
              </w:rPr>
              <w:t xml:space="preserve"> </w:t>
            </w:r>
            <w:r>
              <w:rPr>
                <w:rFonts w:hint="eastAsia"/>
                <w:sz w:val="24"/>
                <w:szCs w:val="24"/>
              </w:rPr>
              <w:t>管代：詹发松</w:t>
            </w:r>
            <w:r>
              <w:rPr>
                <w:rFonts w:hint="eastAsia"/>
                <w:sz w:val="24"/>
                <w:szCs w:val="24"/>
                <w:lang w:val="en-US" w:eastAsia="zh-CN"/>
              </w:rPr>
              <w:t xml:space="preserve"> </w:t>
            </w:r>
            <w:r>
              <w:rPr>
                <w:rFonts w:hint="eastAsia"/>
                <w:sz w:val="24"/>
                <w:szCs w:val="24"/>
              </w:rPr>
              <w:t>陪同：</w:t>
            </w:r>
            <w:r>
              <w:rPr>
                <w:rFonts w:hint="eastAsia"/>
                <w:sz w:val="24"/>
                <w:szCs w:val="24"/>
                <w:lang w:eastAsia="zh-CN"/>
              </w:rPr>
              <w:t>刘定生</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eastAsia="zh-CN"/>
              </w:rPr>
              <w:t>张磊</w:t>
            </w:r>
            <w:r>
              <w:rPr>
                <w:rFonts w:hint="eastAsia"/>
                <w:sz w:val="24"/>
                <w:szCs w:val="24"/>
                <w:lang w:val="en-US" w:eastAsia="zh-CN"/>
              </w:rPr>
              <w:t xml:space="preserve"> </w:t>
            </w:r>
            <w:r>
              <w:rPr>
                <w:rFonts w:hint="eastAsia"/>
                <w:sz w:val="24"/>
                <w:szCs w:val="24"/>
              </w:rPr>
              <w:t>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Q:4.1/4.2/4.3/4.4/5.1/5.2/5.3/6.1/6.2/6.3/</w:t>
            </w:r>
            <w:r>
              <w:rPr>
                <w:rFonts w:hint="eastAsia" w:ascii="宋体" w:hAnsi="宋体"/>
                <w:sz w:val="18"/>
              </w:rPr>
              <w:t>7.1</w:t>
            </w:r>
            <w:r>
              <w:rPr>
                <w:rFonts w:ascii="宋体" w:hAnsi="宋体"/>
                <w:sz w:val="18"/>
              </w:rPr>
              <w:t xml:space="preserve">.1/9.3/10.1/10.3 </w:t>
            </w:r>
          </w:p>
          <w:p>
            <w:pPr>
              <w:ind w:firstLine="900" w:firstLineChars="500"/>
              <w:rPr>
                <w:rFonts w:ascii="宋体" w:hAnsi="宋体"/>
                <w:sz w:val="18"/>
              </w:rPr>
            </w:pPr>
            <w:r>
              <w:rPr>
                <w:rFonts w:ascii="宋体" w:hAnsi="宋体"/>
                <w:sz w:val="18"/>
              </w:rPr>
              <w:t>E:4.1/4.2/4.3/4.4/5.1/5.2/5.3/6.1/6.2</w:t>
            </w:r>
            <w:r>
              <w:rPr>
                <w:rFonts w:hint="eastAsia" w:ascii="宋体" w:hAnsi="宋体"/>
                <w:sz w:val="18"/>
              </w:rPr>
              <w:t>/7.1</w:t>
            </w:r>
            <w:r>
              <w:rPr>
                <w:rFonts w:ascii="宋体" w:hAnsi="宋体"/>
                <w:sz w:val="18"/>
              </w:rPr>
              <w:t>/9.3/10.1/10.3</w:t>
            </w:r>
          </w:p>
          <w:p>
            <w:pPr>
              <w:rPr>
                <w:rFonts w:ascii="宋体" w:hAnsi="宋体"/>
                <w:sz w:val="18"/>
              </w:rPr>
            </w:pPr>
            <w:r>
              <w:rPr>
                <w:rFonts w:hint="eastAsia" w:ascii="宋体" w:hAnsi="宋体"/>
                <w:sz w:val="18"/>
              </w:rPr>
              <w:t>国家/地方监督抽查情况；顾客满意、相关方投诉及处理情况；一阶段问题验证，</w:t>
            </w:r>
          </w:p>
          <w:p>
            <w:pPr>
              <w:pStyle w:val="2"/>
              <w:rPr>
                <w:rFonts w:ascii="宋体" w:hAnsi="宋体"/>
                <w:bCs w:val="0"/>
                <w:spacing w:val="0"/>
                <w:sz w:val="18"/>
              </w:rPr>
            </w:pPr>
            <w:r>
              <w:rPr>
                <w:rFonts w:hint="eastAsia" w:ascii="宋体" w:hAnsi="宋体"/>
                <w:bCs w:val="0"/>
                <w:spacing w:val="0"/>
                <w:sz w:val="18"/>
              </w:rPr>
              <w:t>验证企业相关资质证明的有效性；</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rPr>
            </w:pPr>
            <w:r>
              <w:rPr>
                <w:rFonts w:hint="eastAsia" w:ascii="Arial" w:hAnsi="Arial" w:cs="Arial"/>
              </w:rPr>
              <w:t>江西兴康电子科技有限公司成立于201</w:t>
            </w:r>
            <w:r>
              <w:rPr>
                <w:rFonts w:ascii="Arial" w:hAnsi="Arial" w:cs="Arial"/>
              </w:rPr>
              <w:t>8</w:t>
            </w:r>
            <w:r>
              <w:rPr>
                <w:rFonts w:hint="eastAsia" w:ascii="Arial" w:hAnsi="Arial" w:cs="Arial"/>
              </w:rPr>
              <w:t>年0</w:t>
            </w:r>
            <w:r>
              <w:rPr>
                <w:rFonts w:ascii="Arial" w:hAnsi="Arial" w:cs="Arial"/>
              </w:rPr>
              <w:t>2</w:t>
            </w:r>
            <w:r>
              <w:rPr>
                <w:rFonts w:hint="eastAsia" w:ascii="Arial" w:hAnsi="Arial" w:cs="Arial"/>
              </w:rPr>
              <w:t>月</w:t>
            </w:r>
            <w:r>
              <w:rPr>
                <w:rFonts w:ascii="Arial" w:hAnsi="Arial" w:cs="Arial"/>
              </w:rPr>
              <w:t>02</w:t>
            </w:r>
            <w:r>
              <w:rPr>
                <w:rFonts w:hint="eastAsia" w:ascii="Arial" w:hAnsi="Arial" w:cs="Arial"/>
              </w:rPr>
              <w:t>日，营业期限：20</w:t>
            </w:r>
            <w:r>
              <w:rPr>
                <w:rFonts w:ascii="Arial" w:hAnsi="Arial" w:cs="Arial"/>
              </w:rPr>
              <w:t>18</w:t>
            </w:r>
            <w:r>
              <w:rPr>
                <w:rFonts w:hint="eastAsia" w:ascii="Arial" w:hAnsi="Arial" w:cs="Arial"/>
              </w:rPr>
              <w:t>年</w:t>
            </w:r>
            <w:r>
              <w:rPr>
                <w:rFonts w:ascii="Arial" w:hAnsi="Arial" w:cs="Arial"/>
              </w:rPr>
              <w:t>02</w:t>
            </w:r>
            <w:r>
              <w:rPr>
                <w:rFonts w:hint="eastAsia" w:ascii="Arial" w:hAnsi="Arial" w:cs="Arial"/>
              </w:rPr>
              <w:t>月0</w:t>
            </w:r>
            <w:r>
              <w:rPr>
                <w:rFonts w:ascii="Arial" w:hAnsi="Arial" w:cs="Arial"/>
              </w:rPr>
              <w:t>2</w:t>
            </w:r>
            <w:r>
              <w:rPr>
                <w:rFonts w:hint="eastAsia" w:ascii="Arial" w:hAnsi="Arial" w:cs="Arial"/>
              </w:rPr>
              <w:t>日-长期，注册资金：</w:t>
            </w:r>
            <w:r>
              <w:rPr>
                <w:rFonts w:ascii="Arial" w:hAnsi="Arial" w:cs="Arial"/>
              </w:rPr>
              <w:t>2940</w:t>
            </w:r>
            <w:r>
              <w:rPr>
                <w:rFonts w:hint="eastAsia" w:ascii="Arial" w:hAnsi="Arial" w:cs="Arial"/>
              </w:rPr>
              <w:t>万，企业信用代码：9</w:t>
            </w:r>
            <w:r>
              <w:rPr>
                <w:rFonts w:ascii="Arial" w:hAnsi="Arial" w:cs="Arial"/>
              </w:rPr>
              <w:t>136072</w:t>
            </w:r>
            <w:r>
              <w:rPr>
                <w:rFonts w:hint="eastAsia" w:ascii="Arial" w:hAnsi="Arial" w:cs="Arial"/>
              </w:rPr>
              <w:t>MA</w:t>
            </w:r>
            <w:r>
              <w:rPr>
                <w:rFonts w:ascii="Arial" w:hAnsi="Arial" w:cs="Arial"/>
              </w:rPr>
              <w:t>37</w:t>
            </w:r>
            <w:r>
              <w:rPr>
                <w:rFonts w:hint="eastAsia" w:ascii="Arial" w:hAnsi="Arial" w:cs="Arial"/>
              </w:rPr>
              <w:t>PXL171，注册地址：</w:t>
            </w:r>
            <w:r>
              <w:rPr>
                <w:rFonts w:hint="eastAsia" w:ascii="Arial" w:hAnsi="Arial" w:cs="Arial"/>
                <w:bCs/>
              </w:rPr>
              <w:t>江西省赣州市南康区龙岭镇临港产业园纬地标准厂房D1栋</w:t>
            </w:r>
            <w:r>
              <w:rPr>
                <w:rFonts w:hint="eastAsia" w:ascii="Arial" w:hAnsi="Arial" w:cs="Arial"/>
              </w:rPr>
              <w:t>，经营范围包括</w:t>
            </w:r>
            <w:r>
              <w:rPr>
                <w:rFonts w:ascii="Arial" w:hAnsi="Arial" w:cs="Arial"/>
              </w:rPr>
              <w:t>电子元器件的研发、生产</w:t>
            </w:r>
            <w:r>
              <w:rPr>
                <w:rFonts w:hint="eastAsia" w:ascii="Arial" w:hAnsi="Arial" w:cs="Arial"/>
              </w:rPr>
              <w:t>。</w:t>
            </w:r>
          </w:p>
          <w:p>
            <w:pPr>
              <w:rPr>
                <w:rFonts w:ascii="Arial" w:hAnsi="Arial" w:cs="Arial"/>
              </w:rPr>
            </w:pPr>
            <w:r>
              <w:rPr>
                <w:rFonts w:ascii="Arial" w:hAnsi="Arial" w:cs="Arial"/>
              </w:rPr>
              <w:t> </w:t>
            </w:r>
            <w:r>
              <w:rPr>
                <w:rFonts w:hint="eastAsia" w:ascii="Arial" w:hAnsi="Arial" w:cs="Arial"/>
              </w:rPr>
              <w:t>公司的主要客户群为江西的企业等；公司采用总经理负责制，层层把关，让用户真正放心</w:t>
            </w:r>
          </w:p>
          <w:p>
            <w:pPr>
              <w:rPr>
                <w:rFonts w:ascii="Arial" w:hAnsi="Arial" w:cs="Arial"/>
              </w:rPr>
            </w:pPr>
            <w:r>
              <w:rPr>
                <w:rFonts w:hint="eastAsia" w:ascii="Arial" w:hAnsi="Arial" w:cs="Arial"/>
              </w:rPr>
              <w:t>管理手册，实施、发布日期：20</w:t>
            </w:r>
            <w:r>
              <w:rPr>
                <w:rFonts w:hint="eastAsia" w:ascii="Arial" w:hAnsi="Arial" w:cs="Arial"/>
                <w:lang w:val="en-US" w:eastAsia="zh-CN"/>
              </w:rPr>
              <w:t>19.12.20</w:t>
            </w:r>
            <w:r>
              <w:rPr>
                <w:rFonts w:hint="eastAsia" w:ascii="Arial" w:hAnsi="Arial" w:cs="Arial"/>
              </w:rPr>
              <w:t>。</w:t>
            </w:r>
          </w:p>
          <w:p>
            <w:pPr>
              <w:rPr>
                <w:rFonts w:ascii="Arial" w:hAnsi="Arial" w:cs="Arial"/>
              </w:rPr>
            </w:pPr>
            <w:r>
              <w:rPr>
                <w:rFonts w:hint="eastAsia" w:ascii="Arial" w:hAnsi="Arial" w:cs="Arial"/>
                <w:lang w:eastAsia="zh-CN"/>
              </w:rPr>
              <w:t>现场</w:t>
            </w:r>
            <w:r>
              <w:rPr>
                <w:rFonts w:hint="eastAsia" w:ascii="Arial" w:hAnsi="Arial" w:cs="Arial"/>
              </w:rPr>
              <w:t>确认范围</w:t>
            </w:r>
          </w:p>
          <w:p>
            <w:pPr>
              <w:rPr>
                <w:rFonts w:ascii="Arial" w:hAnsi="Arial" w:cs="Arial"/>
              </w:rPr>
            </w:pPr>
            <w:bookmarkStart w:id="0" w:name="审核范围"/>
            <w:r>
              <w:rPr>
                <w:rFonts w:ascii="Arial" w:hAnsi="Arial" w:cs="Arial"/>
              </w:rPr>
              <w:t>Q：电子元器件的研发、生产</w:t>
            </w:r>
          </w:p>
          <w:p>
            <w:pPr>
              <w:autoSpaceDE w:val="0"/>
              <w:autoSpaceDN w:val="0"/>
              <w:adjustRightInd w:val="0"/>
              <w:spacing w:line="360" w:lineRule="auto"/>
              <w:rPr>
                <w:rFonts w:ascii="宋体" w:hAnsi="宋体" w:cs="宋体"/>
                <w:szCs w:val="21"/>
              </w:rPr>
            </w:pPr>
            <w:r>
              <w:rPr>
                <w:rFonts w:ascii="Arial" w:hAnsi="Arial" w:cs="Arial"/>
              </w:rPr>
              <w:t>E：电子元器件的研发、生产及所涉及的相关环境管理活动</w:t>
            </w:r>
            <w:bookmarkEnd w:id="0"/>
            <w:r>
              <w:rPr>
                <w:rFonts w:hint="eastAsia" w:ascii="宋体" w:hAnsi="宋体" w:cs="宋体"/>
                <w:szCs w:val="21"/>
              </w:rPr>
              <w:t xml:space="preserve">公司环境概述 </w:t>
            </w:r>
          </w:p>
          <w:p>
            <w:pPr>
              <w:autoSpaceDE w:val="0"/>
              <w:autoSpaceDN w:val="0"/>
              <w:adjustRightInd w:val="0"/>
              <w:spacing w:line="360" w:lineRule="auto"/>
              <w:rPr>
                <w:rFonts w:ascii="宋体" w:hAnsi="宋体" w:cs="宋体"/>
                <w:szCs w:val="21"/>
              </w:rPr>
            </w:pPr>
            <w:r>
              <w:rPr>
                <w:rFonts w:hint="eastAsia" w:ascii="宋体" w:hAnsi="宋体" w:cs="宋体"/>
                <w:szCs w:val="21"/>
              </w:rPr>
              <w:t>地理位置：公司地处</w:t>
            </w:r>
            <w:r>
              <w:rPr>
                <w:rFonts w:hint="eastAsia" w:ascii="宋体" w:hAnsi="宋体" w:cs="宋体"/>
                <w:bCs/>
                <w:szCs w:val="21"/>
              </w:rPr>
              <w:t>江西省赣州市</w:t>
            </w:r>
            <w:r>
              <w:rPr>
                <w:rFonts w:hint="eastAsia" w:ascii="宋体" w:hAnsi="宋体" w:cs="宋体"/>
                <w:szCs w:val="21"/>
              </w:rPr>
              <w:t xml:space="preserve">，交通非常便利，周边为开发区，附近有其它企业。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t>电子元器件的研发、生产</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法律法规：公司地处赣州市，在环境方面应符合国家和本省的环境和安全法律法规要求。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1" w:name="_Toc475019994"/>
            <w:bookmarkStart w:id="2" w:name="_Toc475020125"/>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rPr>
              <w:t>查组织</w:t>
            </w:r>
            <w:r>
              <w:rPr>
                <w:rFonts w:hint="eastAsia"/>
                <w:b/>
              </w:rPr>
              <w:t>相关方需求和期望分析</w:t>
            </w:r>
            <w:r>
              <w:rPr>
                <w:rFonts w:hint="eastAsia"/>
                <w:b/>
                <w:lang w:eastAsia="zh-CN"/>
              </w:rPr>
              <w:t>一栏</w:t>
            </w:r>
            <w:r>
              <w:rPr>
                <w:rFonts w:hint="eastAsia"/>
                <w:b/>
              </w:rPr>
              <w:t>表</w:t>
            </w:r>
            <w:r>
              <w:rPr>
                <w:rFonts w:hint="eastAsia"/>
              </w:rPr>
              <w:t>，对</w:t>
            </w:r>
            <w:r>
              <w:rPr>
                <w:rFonts w:hint="eastAsia"/>
                <w:lang w:eastAsia="zh-CN"/>
              </w:rPr>
              <w:t>外部供方、</w:t>
            </w:r>
            <w:r>
              <w:rPr>
                <w:rFonts w:hint="eastAsia"/>
              </w:rPr>
              <w:t>客户，</w:t>
            </w:r>
            <w:r>
              <w:rPr>
                <w:rFonts w:hint="eastAsia"/>
                <w:lang w:eastAsia="zh-CN"/>
              </w:rPr>
              <w:t>员工、认证</w:t>
            </w:r>
            <w:r>
              <w:rPr>
                <w:rFonts w:hint="eastAsia"/>
              </w:rPr>
              <w:t>机构及政府机构进行了分析。</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Q：电子元器件的研发、生产</w:t>
            </w:r>
          </w:p>
          <w:p>
            <w:r>
              <w:t>E：电子元器件的研发、生产及所涉及的相关环境管理活动</w:t>
            </w:r>
            <w:r>
              <w:rPr>
                <w:rFonts w:hint="eastAsia"/>
              </w:rPr>
              <w:t>公司环境概述</w:t>
            </w:r>
          </w:p>
          <w:p>
            <w:pPr>
              <w:rPr>
                <w:sz w:val="20"/>
              </w:rPr>
            </w:pPr>
            <w:r>
              <w:rPr>
                <w:sz w:val="20"/>
              </w:rPr>
              <w:t>无不适用条款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19</w:t>
            </w:r>
            <w:r>
              <w:rPr>
                <w:rFonts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根据自身的实际情况和标准的要求组织人员编制了</w:t>
            </w:r>
            <w:r>
              <w:rPr>
                <w:rFonts w:hint="eastAsia" w:ascii="宋体" w:hAnsi="宋体" w:cs="宋体"/>
                <w:szCs w:val="21"/>
                <w:lang w:eastAsia="zh-CN"/>
              </w:rPr>
              <w:t>程序文件</w:t>
            </w:r>
            <w:r>
              <w:rPr>
                <w:rFonts w:hint="eastAsia" w:ascii="宋体" w:hAnsi="宋体" w:cs="宋体"/>
                <w:szCs w:val="21"/>
              </w:rPr>
              <w:t>、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行政人事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sz w:val="24"/>
                <w:szCs w:val="24"/>
              </w:rPr>
              <w:t>黄志华</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left="420" w:leftChars="200"/>
              <w:rPr>
                <w:rFonts w:hint="eastAsia" w:ascii="宋体" w:hAnsi="宋体" w:cs="宋体"/>
                <w:b/>
                <w:szCs w:val="21"/>
              </w:rPr>
            </w:pPr>
            <w:r>
              <w:rPr>
                <w:rFonts w:hint="eastAsia" w:ascii="宋体" w:hAnsi="宋体" w:cs="宋体"/>
                <w:b/>
                <w:szCs w:val="21"/>
              </w:rPr>
              <w:t>质量第一，客户至上；技术创新，持续发展！</w:t>
            </w:r>
          </w:p>
          <w:p>
            <w:pPr>
              <w:spacing w:line="280" w:lineRule="exact"/>
              <w:ind w:left="420" w:leftChars="200"/>
              <w:rPr>
                <w:rFonts w:ascii="宋体" w:hAnsi="宋体" w:cs="宋体"/>
                <w:b/>
                <w:bCs/>
                <w:szCs w:val="21"/>
              </w:rPr>
            </w:pPr>
            <w:r>
              <w:rPr>
                <w:rFonts w:hint="eastAsia" w:ascii="宋体" w:hAnsi="宋体" w:cs="宋体"/>
                <w:b/>
                <w:szCs w:val="21"/>
              </w:rPr>
              <w:t>遵守法规，注重环境，节约资源</w:t>
            </w:r>
          </w:p>
          <w:p>
            <w:pPr>
              <w:spacing w:line="280" w:lineRule="exact"/>
              <w:ind w:left="420" w:leftChars="200"/>
              <w:rPr>
                <w:rFonts w:ascii="宋体" w:hAnsi="宋体" w:cs="宋体"/>
                <w:szCs w:val="21"/>
              </w:rPr>
            </w:pPr>
            <w:r>
              <w:rPr>
                <w:rFonts w:hint="eastAsia" w:ascii="宋体" w:hAnsi="宋体" w:cs="宋体"/>
                <w:szCs w:val="21"/>
              </w:rPr>
              <w:t>公司以质量、环境标准为基础，结合公司实际特制定管理方针。与总经理进行交谈，总经理黄志华对方针内涵的理解较深刻。方针能为制定目标提供框架，方针基本符合标准的要求。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总经理用会议、文件等手段保证管理方针为全体员工理解并落实到工作中。黄志华总经理说管理评审时对方针的持续适宜性进行了评审，有评审记录。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詹发松</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 xml:space="preserve">1. </w:t>
            </w:r>
            <w:r>
              <w:rPr>
                <w:rFonts w:hint="eastAsia" w:ascii="宋体" w:hAnsi="宋体"/>
                <w:sz w:val="24"/>
              </w:rPr>
              <w:t xml:space="preserve">按 </w:t>
            </w:r>
            <w:r>
              <w:rPr>
                <w:rFonts w:ascii="宋体" w:hAnsi="宋体"/>
                <w:sz w:val="24"/>
              </w:rPr>
              <w:t>GB/T19001-2016、</w:t>
            </w:r>
            <w:r>
              <w:rPr>
                <w:rFonts w:hint="eastAsia" w:ascii="宋体" w:hAnsi="宋体"/>
                <w:sz w:val="24"/>
              </w:rPr>
              <w:t>GB/T24001-2016标准要求建立质量/环境管理体系，并组织实施、保持和改善质量/环境管理体系；</w:t>
            </w:r>
          </w:p>
          <w:p>
            <w:pPr>
              <w:widowControl/>
              <w:spacing w:line="400" w:lineRule="exact"/>
              <w:ind w:left="360"/>
              <w:jc w:val="left"/>
              <w:textAlignment w:val="baseline"/>
              <w:rPr>
                <w:rFonts w:ascii="宋体" w:hAnsi="宋体"/>
                <w:sz w:val="24"/>
              </w:rPr>
            </w:pPr>
            <w:r>
              <w:rPr>
                <w:rFonts w:ascii="宋体" w:hAnsi="宋体"/>
                <w:sz w:val="24"/>
              </w:rPr>
              <w:t xml:space="preserve">2.  </w:t>
            </w:r>
            <w:r>
              <w:rPr>
                <w:rFonts w:hint="eastAsia" w:ascii="宋体" w:hAnsi="宋体"/>
                <w:sz w:val="24"/>
              </w:rPr>
              <w:t>负责向全体员工倡导以顾客为中心的质量理念和保护环境、节约能资源的理念；</w:t>
            </w:r>
          </w:p>
          <w:p>
            <w:pPr>
              <w:widowControl/>
              <w:spacing w:line="400" w:lineRule="exact"/>
              <w:ind w:left="360"/>
              <w:jc w:val="left"/>
              <w:textAlignment w:val="baseline"/>
              <w:rPr>
                <w:rFonts w:ascii="宋体" w:hAnsi="宋体"/>
                <w:sz w:val="24"/>
              </w:rPr>
            </w:pPr>
            <w:r>
              <w:rPr>
                <w:rFonts w:ascii="宋体" w:hAnsi="宋体"/>
                <w:sz w:val="24"/>
              </w:rPr>
              <w:t xml:space="preserve">3.  </w:t>
            </w:r>
            <w:r>
              <w:rPr>
                <w:rFonts w:hint="eastAsia" w:ascii="宋体" w:hAnsi="宋体"/>
                <w:sz w:val="24"/>
              </w:rPr>
              <w:t>负责对本公司质量/环境管理体系运行过程进行监控；</w:t>
            </w:r>
          </w:p>
          <w:p>
            <w:pPr>
              <w:widowControl/>
              <w:spacing w:line="400" w:lineRule="exact"/>
              <w:ind w:left="360"/>
              <w:jc w:val="left"/>
              <w:textAlignment w:val="baseline"/>
              <w:rPr>
                <w:rFonts w:ascii="宋体" w:hAnsi="宋体"/>
                <w:sz w:val="24"/>
              </w:rPr>
            </w:pPr>
            <w:r>
              <w:rPr>
                <w:rFonts w:ascii="宋体" w:hAnsi="宋体"/>
                <w:sz w:val="24"/>
              </w:rPr>
              <w:t xml:space="preserve">4.  </w:t>
            </w:r>
            <w:r>
              <w:rPr>
                <w:rFonts w:hint="eastAsia" w:ascii="宋体" w:hAnsi="宋体"/>
                <w:sz w:val="24"/>
              </w:rPr>
              <w:t>负责质量/环境管理体系内部审核的组织和展开；</w:t>
            </w:r>
          </w:p>
          <w:p>
            <w:pPr>
              <w:widowControl/>
              <w:spacing w:line="400" w:lineRule="exact"/>
              <w:ind w:left="360"/>
              <w:jc w:val="left"/>
              <w:textAlignment w:val="baseline"/>
              <w:rPr>
                <w:rFonts w:ascii="宋体" w:hAnsi="宋体"/>
                <w:sz w:val="24"/>
              </w:rPr>
            </w:pPr>
            <w:r>
              <w:rPr>
                <w:rFonts w:ascii="宋体" w:hAnsi="宋体"/>
                <w:sz w:val="24"/>
              </w:rPr>
              <w:t xml:space="preserve">5. </w:t>
            </w:r>
            <w:r>
              <w:rPr>
                <w:rFonts w:hint="eastAsia" w:ascii="宋体" w:hAnsi="宋体"/>
                <w:sz w:val="24"/>
              </w:rPr>
              <w:t>负责向最高管理层报告质量/环境管理体系的</w:t>
            </w:r>
            <w:r>
              <w:rPr>
                <w:rFonts w:ascii="宋体" w:hAnsi="宋体"/>
                <w:sz w:val="24"/>
              </w:rPr>
              <w:t>绩效</w:t>
            </w:r>
            <w:r>
              <w:rPr>
                <w:rFonts w:hint="eastAsia" w:ascii="宋体" w:hAnsi="宋体"/>
                <w:sz w:val="24"/>
              </w:rPr>
              <w:t>和改进需求；</w:t>
            </w:r>
          </w:p>
          <w:p>
            <w:pPr>
              <w:widowControl/>
              <w:spacing w:line="400" w:lineRule="exact"/>
              <w:ind w:left="360"/>
              <w:jc w:val="left"/>
              <w:textAlignment w:val="baseline"/>
              <w:rPr>
                <w:rFonts w:ascii="宋体" w:hAnsi="宋体"/>
                <w:sz w:val="24"/>
              </w:rPr>
            </w:pPr>
            <w:r>
              <w:rPr>
                <w:rFonts w:ascii="宋体" w:hAnsi="宋体"/>
                <w:sz w:val="24"/>
              </w:rPr>
              <w:t xml:space="preserve">6. </w:t>
            </w:r>
            <w:r>
              <w:rPr>
                <w:rFonts w:hint="eastAsia" w:ascii="宋体" w:hAnsi="宋体"/>
                <w:sz w:val="24"/>
              </w:rPr>
              <w:t>负责就质量/环境管理体系有关的外部事项联络及组织；</w:t>
            </w:r>
          </w:p>
          <w:p>
            <w:pPr>
              <w:spacing w:line="280" w:lineRule="exact"/>
              <w:ind w:firstLine="480" w:firstLineChars="200"/>
              <w:rPr>
                <w:rFonts w:ascii="宋体" w:hAnsi="宋体"/>
                <w:sz w:val="24"/>
              </w:rPr>
            </w:pPr>
            <w:r>
              <w:rPr>
                <w:rFonts w:ascii="宋体" w:hAnsi="宋体"/>
                <w:sz w:val="24"/>
              </w:rPr>
              <w:t xml:space="preserve">7. </w:t>
            </w:r>
            <w:r>
              <w:rPr>
                <w:rFonts w:hint="eastAsia" w:ascii="宋体" w:hAnsi="宋体"/>
                <w:sz w:val="24"/>
              </w:rPr>
              <w:t>其它由最高管理者授权的质量/环境安全体系的管理事宜。</w:t>
            </w:r>
          </w:p>
          <w:p>
            <w:pPr>
              <w:spacing w:line="280" w:lineRule="exact"/>
              <w:ind w:firstLine="420" w:firstLineChars="200"/>
              <w:rPr>
                <w:bCs w:val="0"/>
                <w:spacing w:val="0"/>
              </w:rPr>
            </w:pPr>
            <w:r>
              <w:rPr>
                <w:rFonts w:hint="eastAsia"/>
              </w:rPr>
              <w:t>管代</w:t>
            </w:r>
            <w:r>
              <w:rPr>
                <w:rFonts w:hint="eastAsia"/>
                <w:sz w:val="24"/>
                <w:szCs w:val="24"/>
              </w:rPr>
              <w:t>詹发松</w:t>
            </w:r>
            <w:r>
              <w:rPr>
                <w:rFonts w:hint="eastAsia"/>
                <w:sz w:val="24"/>
                <w:szCs w:val="24"/>
                <w:lang w:eastAsia="zh-CN"/>
              </w:rPr>
              <w:t>清楚自己的</w:t>
            </w:r>
            <w:r>
              <w:rPr>
                <w:rFonts w:hint="eastAsia"/>
              </w:rPr>
              <w:t>职责。</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6"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pPr>
              <w:pStyle w:val="14"/>
            </w:pPr>
            <w:r>
              <w:rPr>
                <w:rFonts w:hint="eastAsia"/>
              </w:rPr>
              <w:t>质量风险：直接质量风险：产品质量不良造成客户抱怨和客户流失。间接质量风险：产品使用过程中，损坏了客户的其他财产。对于客户首次订做产品，不了解产品要求，导致最终成品与客户需求不一致现象。</w:t>
            </w:r>
          </w:p>
          <w:p>
            <w:pPr>
              <w:pStyle w:val="14"/>
            </w:pPr>
            <w:r>
              <w:rPr>
                <w:rFonts w:hint="eastAsia"/>
              </w:rPr>
              <w:t>环境风险：客户付款方式不准时。产品销售淡季，影响公司。经营发展及经济效益受全球新冠肺炎影响，订单明显锐减。</w:t>
            </w:r>
          </w:p>
          <w:p>
            <w:pPr>
              <w:pStyle w:val="14"/>
            </w:pPr>
            <w:r>
              <w:rPr>
                <w:rFonts w:hint="eastAsia"/>
              </w:rPr>
              <w:t>经营风险：生产设备意外故障，设备损坏及设备不能满足生产和客户要求</w:t>
            </w:r>
          </w:p>
          <w:p>
            <w:pPr>
              <w:pStyle w:val="14"/>
              <w:ind w:left="1260" w:leftChars="600" w:firstLine="0" w:firstLineChars="0"/>
            </w:pPr>
            <w:r>
              <w:rPr>
                <w:rFonts w:hint="eastAsia"/>
              </w:rPr>
              <w:t>市场竞争力:对竞争对手的错误分析可能导致对我们的产品市场竞争力高估或低估，进而引发期望值风险。</w:t>
            </w:r>
          </w:p>
          <w:p>
            <w:pPr>
              <w:pStyle w:val="14"/>
              <w:ind w:firstLine="1260" w:firstLineChars="600"/>
            </w:pPr>
            <w:r>
              <w:rPr>
                <w:rFonts w:hint="eastAsia"/>
              </w:rPr>
              <w:t>价格风险:产品的价格风险受产品的成本、客户群体等影响造成客户流失。</w:t>
            </w:r>
          </w:p>
          <w:p>
            <w:pPr>
              <w:pStyle w:val="14"/>
              <w:ind w:firstLine="0" w:firstLineChars="0"/>
            </w:pPr>
            <w:r>
              <w:rPr>
                <w:rFonts w:hint="eastAsia"/>
              </w:rPr>
              <w:t>风险控制措施为：</w:t>
            </w:r>
          </w:p>
          <w:p>
            <w:pPr>
              <w:pStyle w:val="14"/>
            </w:pPr>
            <w:r>
              <w:rPr>
                <w:rFonts w:hint="eastAsia"/>
              </w:rPr>
              <w:t>质量风险：1.每款产品打样时，技术/品保/业务应与客户确定产品质量标准并制定检验规范，确保双方检验标准的一致性。  2.生产过程中落实产品首/尾件检查并做相关记录。 3.所有产品依公司检验标准进行检验，合格后方可出货。</w:t>
            </w:r>
            <w:r>
              <w:t>4</w:t>
            </w:r>
            <w:r>
              <w:rPr>
                <w:rFonts w:hint="eastAsia"/>
              </w:rPr>
              <w:t>客户有特殊要求产品需在打样时做相关评审确定。</w:t>
            </w:r>
            <w:r>
              <w:t>5</w:t>
            </w:r>
            <w:r>
              <w:rPr>
                <w:rFonts w:hint="eastAsia"/>
              </w:rPr>
              <w:t>业务部接单后应详细注明特殊要求。</w:t>
            </w:r>
          </w:p>
          <w:p>
            <w:pPr>
              <w:pStyle w:val="14"/>
              <w:ind w:firstLine="0" w:firstLineChars="0"/>
            </w:pPr>
            <w:r>
              <w:rPr>
                <w:rFonts w:hint="eastAsia"/>
              </w:rPr>
              <w:t>业务人员与客户沟通时，了解客户需求及产品配套环境，推荐和客户匹配的产品。</w:t>
            </w:r>
          </w:p>
          <w:p>
            <w:pPr>
              <w:pStyle w:val="14"/>
            </w:pPr>
            <w:r>
              <w:rPr>
                <w:rFonts w:hint="eastAsia"/>
              </w:rPr>
              <w:t>环境风险：签订合同前，与客户谈好付款方式，货款金额提前预付，以及谈好规定时间内付清余款。</w:t>
            </w:r>
          </w:p>
          <w:p>
            <w:pPr>
              <w:pStyle w:val="14"/>
            </w:pPr>
            <w:r>
              <w:rPr>
                <w:rFonts w:hint="eastAsia"/>
              </w:rPr>
              <w:t>加强市场开发力度，重点开发中/高度客户群体，扩展市场的销售份额(如参加相关大型展会)</w:t>
            </w:r>
          </w:p>
          <w:p>
            <w:pPr>
              <w:pStyle w:val="14"/>
              <w:ind w:firstLine="0" w:firstLineChars="0"/>
            </w:pPr>
            <w:r>
              <w:rPr>
                <w:rFonts w:hint="eastAsia"/>
              </w:rPr>
              <w:t>经常保持和客户的沟通，时刻关注客户最新需求；提升产品品质，做好相关售前售后等服务工作。</w:t>
            </w:r>
          </w:p>
          <w:p>
            <w:pPr>
              <w:pStyle w:val="14"/>
            </w:pPr>
            <w:r>
              <w:rPr>
                <w:rFonts w:hint="eastAsia"/>
              </w:rPr>
              <w:t>经营风险：做好设备维护保养工作，定期对设备进行必要的检修，确保有良好的稼动率。</w:t>
            </w:r>
          </w:p>
          <w:p>
            <w:pPr>
              <w:pStyle w:val="14"/>
            </w:pPr>
            <w:r>
              <w:rPr>
                <w:rFonts w:hint="eastAsia"/>
              </w:rPr>
              <w:t>业务部每年至少一次对同行业市场调查并形成书面调查报告.制定公司产品价格核算方式，确保公司利润，做到互惠互利。提高公司生产效率，降低生产成本及管理成本，提供价格竞争力。</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15"/>
              <w:numPr>
                <w:ilvl w:val="0"/>
                <w:numId w:val="1"/>
              </w:numPr>
              <w:ind w:firstLineChars="0"/>
              <w:rPr>
                <w:rFonts w:hAnsi="宋体" w:cs="宋体"/>
                <w:bCs/>
                <w:kern w:val="0"/>
              </w:rPr>
            </w:pPr>
            <w:r>
              <w:rPr>
                <w:rFonts w:hint="eastAsia" w:hAnsi="宋体" w:cs="宋体"/>
                <w:bCs/>
                <w:kern w:val="0"/>
                <w:lang w:eastAsia="zh-CN"/>
              </w:rPr>
              <w:t>综合良品率</w:t>
            </w:r>
            <w:r>
              <w:rPr>
                <w:rFonts w:hint="eastAsia" w:hAnsi="宋体" w:cs="宋体"/>
                <w:bCs/>
                <w:kern w:val="0"/>
              </w:rPr>
              <w:t>：≥9</w:t>
            </w:r>
            <w:r>
              <w:rPr>
                <w:rFonts w:hint="eastAsia" w:hAnsi="宋体" w:cs="宋体"/>
                <w:bCs/>
                <w:kern w:val="0"/>
                <w:lang w:val="en-US" w:eastAsia="zh-CN"/>
              </w:rPr>
              <w:t>0</w:t>
            </w:r>
            <w:r>
              <w:rPr>
                <w:rFonts w:hint="eastAsia" w:hAnsi="宋体" w:cs="宋体"/>
                <w:bCs/>
                <w:kern w:val="0"/>
              </w:rPr>
              <w:t xml:space="preserve">% </w:t>
            </w:r>
          </w:p>
          <w:p>
            <w:pPr>
              <w:pStyle w:val="15"/>
              <w:numPr>
                <w:ilvl w:val="0"/>
                <w:numId w:val="1"/>
              </w:numPr>
              <w:ind w:firstLineChars="0"/>
              <w:rPr>
                <w:rFonts w:hAnsi="宋体" w:cs="宋体"/>
                <w:bCs/>
                <w:kern w:val="0"/>
              </w:rPr>
            </w:pPr>
            <w:r>
              <w:rPr>
                <w:rFonts w:hint="eastAsia" w:hAnsi="宋体" w:cs="宋体"/>
                <w:bCs/>
                <w:kern w:val="0"/>
                <w:lang w:eastAsia="zh-CN"/>
              </w:rPr>
              <w:t>顾客满意度</w:t>
            </w:r>
            <w:r>
              <w:rPr>
                <w:rFonts w:hint="eastAsia" w:hAnsi="宋体" w:cs="宋体"/>
                <w:bCs/>
                <w:kern w:val="0"/>
              </w:rPr>
              <w:t>：≥90%</w:t>
            </w:r>
          </w:p>
          <w:p>
            <w:pPr>
              <w:pStyle w:val="15"/>
              <w:numPr>
                <w:ilvl w:val="0"/>
                <w:numId w:val="1"/>
              </w:numPr>
              <w:ind w:firstLineChars="0"/>
              <w:rPr>
                <w:rFonts w:hAnsi="宋体" w:cs="宋体"/>
                <w:bCs/>
                <w:kern w:val="0"/>
              </w:rPr>
            </w:pPr>
            <w:r>
              <w:rPr>
                <w:rFonts w:hint="eastAsia" w:hAnsi="宋体" w:cs="宋体"/>
                <w:bCs/>
                <w:kern w:val="0"/>
              </w:rPr>
              <w:t>固体弃物有效处置率100％；</w:t>
            </w:r>
          </w:p>
          <w:p>
            <w:pPr>
              <w:pStyle w:val="15"/>
              <w:numPr>
                <w:ilvl w:val="0"/>
                <w:numId w:val="1"/>
              </w:numPr>
              <w:ind w:firstLineChars="0"/>
              <w:rPr>
                <w:rFonts w:hAnsi="宋体" w:cs="宋体"/>
                <w:bCs/>
                <w:kern w:val="0"/>
              </w:rPr>
            </w:pPr>
            <w:r>
              <w:rPr>
                <w:rFonts w:hint="eastAsia" w:hAnsi="宋体" w:cs="宋体"/>
                <w:bCs/>
                <w:kern w:val="0"/>
                <w:lang w:eastAsia="zh-CN"/>
              </w:rPr>
              <w:t>“三废”排放达标率</w:t>
            </w:r>
            <w:r>
              <w:rPr>
                <w:rFonts w:hint="eastAsia" w:hAnsi="宋体" w:cs="宋体"/>
                <w:bCs/>
                <w:kern w:val="0"/>
                <w:lang w:val="en-US" w:eastAsia="zh-CN"/>
              </w:rPr>
              <w:t>100%</w:t>
            </w:r>
          </w:p>
          <w:p>
            <w:pPr>
              <w:pStyle w:val="15"/>
              <w:numPr>
                <w:ilvl w:val="0"/>
                <w:numId w:val="1"/>
              </w:numPr>
              <w:ind w:firstLineChars="0"/>
              <w:rPr>
                <w:rFonts w:hAnsi="宋体" w:cs="宋体"/>
                <w:kern w:val="0"/>
              </w:rPr>
            </w:pPr>
            <w:r>
              <w:rPr>
                <w:rFonts w:hint="eastAsia" w:hAnsi="宋体" w:cs="宋体"/>
                <w:bCs/>
                <w:kern w:val="0"/>
              </w:rPr>
              <w:t>火灾事故发生次数为: 0次</w:t>
            </w:r>
          </w:p>
          <w:p>
            <w:pPr>
              <w:spacing w:line="280" w:lineRule="exact"/>
              <w:ind w:firstLine="420" w:firstLineChars="200"/>
            </w:pPr>
            <w:r>
              <w:rPr>
                <w:rFonts w:hint="eastAsia"/>
              </w:rPr>
              <w:t>目标可测量，与公司管理方针一致。</w:t>
            </w:r>
          </w:p>
          <w:p>
            <w:pPr>
              <w:spacing w:line="280" w:lineRule="exact"/>
            </w:pPr>
            <w:r>
              <w:rPr>
                <w:rFonts w:hint="eastAsia"/>
              </w:rPr>
              <w:t>每年由行政人事部按公司管理目标考核要求统计考核公司管理目标完成情况，提交管理评审会议。查到2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5</w:t>
            </w:r>
            <w:r>
              <w:rPr>
                <w:rFonts w:hint="eastAsia"/>
              </w:rPr>
              <w:t>月，公司管理目标完成情况，各项目标均已完成，考核部门行政人事部。</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w:t>
            </w:r>
            <w:r>
              <w:rPr>
                <w:szCs w:val="21"/>
              </w:rPr>
              <w:t>7.1.1</w:t>
            </w:r>
          </w:p>
          <w:p>
            <w:pPr>
              <w:spacing w:line="280" w:lineRule="exact"/>
              <w:rPr>
                <w:szCs w:val="21"/>
              </w:rPr>
            </w:pPr>
            <w:r>
              <w:rPr>
                <w:rFonts w:hint="eastAsia"/>
                <w:szCs w:val="21"/>
              </w:rPr>
              <w:t>E7.1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部门：研发部、</w:t>
            </w:r>
            <w:r>
              <w:rPr>
                <w:rFonts w:hint="eastAsia" w:ascii="宋体" w:hAnsi="宋体" w:cs="宋体"/>
                <w:szCs w:val="21"/>
                <w:lang w:eastAsia="zh-CN"/>
              </w:rPr>
              <w:t>生产中心、</w:t>
            </w:r>
            <w:r>
              <w:rPr>
                <w:rFonts w:hint="eastAsia" w:ascii="宋体" w:hAnsi="宋体" w:cs="宋体"/>
                <w:szCs w:val="21"/>
              </w:rPr>
              <w:t>行政人事部、业务部、资材部等</w:t>
            </w:r>
          </w:p>
          <w:p>
            <w:pPr>
              <w:pStyle w:val="2"/>
            </w:pPr>
            <w:r>
              <w:rPr>
                <w:rFonts w:hint="eastAsia"/>
              </w:rPr>
              <w:t>人员：办公人员、销售人员、财务人员、研发人员等</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r>
              <w:rPr>
                <w:rFonts w:hint="eastAsia"/>
              </w:rPr>
              <w:t>生产设备：包括心舟烤箱、网带炉、恒力链式烧银炉等。</w:t>
            </w:r>
          </w:p>
          <w:p>
            <w:pPr>
              <w:pStyle w:val="2"/>
            </w:pPr>
            <w:r>
              <w:rPr>
                <w:rFonts w:hint="eastAsia"/>
              </w:rPr>
              <w:t>资源基本满足要求。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spacing w:line="280" w:lineRule="exact"/>
              <w:rPr>
                <w:rFonts w:ascii="宋体" w:hAnsi="宋体" w:cs="宋体"/>
                <w:szCs w:val="21"/>
              </w:rPr>
            </w:pPr>
            <w:r>
              <w:rPr>
                <w:rFonts w:hint="eastAsia"/>
                <w:szCs w:val="21"/>
              </w:rPr>
              <w:t>沟通、参与和协商</w:t>
            </w:r>
          </w:p>
        </w:tc>
        <w:tc>
          <w:tcPr>
            <w:tcW w:w="1012" w:type="dxa"/>
            <w:vAlign w:val="center"/>
          </w:tcPr>
          <w:p>
            <w:pPr>
              <w:rPr>
                <w:szCs w:val="21"/>
              </w:rPr>
            </w:pPr>
            <w:r>
              <w:rPr>
                <w:rFonts w:hint="eastAsia"/>
                <w:szCs w:val="21"/>
              </w:rPr>
              <w:t>QE7.4</w:t>
            </w:r>
          </w:p>
          <w:p>
            <w:pPr>
              <w:spacing w:line="280" w:lineRule="exact"/>
              <w:rPr>
                <w:szCs w:val="21"/>
              </w:rPr>
            </w:pPr>
          </w:p>
        </w:tc>
        <w:tc>
          <w:tcPr>
            <w:tcW w:w="10642" w:type="dxa"/>
            <w:vAlign w:val="center"/>
          </w:tcPr>
          <w:p>
            <w:pPr>
              <w:ind w:firstLine="420" w:firstLineChars="200"/>
              <w:rPr>
                <w:szCs w:val="21"/>
              </w:rPr>
            </w:pPr>
            <w:r>
              <w:rPr>
                <w:rFonts w:hint="eastAsia"/>
                <w:szCs w:val="21"/>
              </w:rPr>
              <w:t>策划编制的管理手册的相关章节规定了企业内、外部沟通，经查阅和交谈符合标准要求。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人事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人事部反馈。供销部负责顾客要求方面的有关事宜的沟通。</w:t>
            </w:r>
          </w:p>
          <w:p>
            <w:pPr>
              <w:ind w:firstLine="420" w:firstLineChars="200"/>
              <w:rPr>
                <w:szCs w:val="21"/>
              </w:rPr>
            </w:pPr>
            <w:r>
              <w:rPr>
                <w:rFonts w:hint="eastAsia"/>
                <w:szCs w:val="21"/>
              </w:rPr>
              <w:t>目前各项沟通都较为及时、顺畅、效果较好。</w:t>
            </w:r>
          </w:p>
          <w:p>
            <w:pPr>
              <w:spacing w:line="280" w:lineRule="exact"/>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进行，评审方式：会议评审，</w:t>
            </w:r>
          </w:p>
          <w:p>
            <w:pPr>
              <w:rPr>
                <w:rFonts w:ascii="宋体" w:hAnsi="宋体" w:cs="宋体"/>
                <w:szCs w:val="21"/>
              </w:rPr>
            </w:pPr>
            <w:r>
              <w:rPr>
                <w:rFonts w:hint="eastAsia" w:ascii="宋体" w:hAnsi="宋体" w:cs="宋体"/>
                <w:szCs w:val="21"/>
              </w:rPr>
              <w:t>编制：</w:t>
            </w:r>
            <w:r>
              <w:rPr>
                <w:rFonts w:hint="eastAsia" w:ascii="宋体" w:hAnsi="宋体" w:cs="宋体"/>
                <w:szCs w:val="21"/>
                <w:lang w:eastAsia="zh-CN"/>
              </w:rPr>
              <w:t>陈加旺</w:t>
            </w:r>
            <w:r>
              <w:rPr>
                <w:rFonts w:hint="eastAsia" w:ascii="宋体" w:hAnsi="宋体" w:cs="宋体"/>
                <w:szCs w:val="21"/>
              </w:rPr>
              <w:t xml:space="preserve">    批准：黄志华</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pStyle w:val="15"/>
              <w:numPr>
                <w:ilvl w:val="0"/>
                <w:numId w:val="3"/>
              </w:numPr>
              <w:ind w:firstLineChars="0"/>
              <w:jc w:val="left"/>
              <w:rPr>
                <w:rFonts w:ascii="宋体" w:hAnsi="宋体" w:cs="宋体"/>
                <w:szCs w:val="21"/>
              </w:rPr>
            </w:pPr>
            <w:r>
              <w:rPr>
                <w:rFonts w:hint="eastAsia" w:ascii="宋体" w:hAnsi="宋体" w:cs="宋体"/>
                <w:szCs w:val="21"/>
              </w:rPr>
              <w:t>公司目标、方针是否适用，目标达成情况</w:t>
            </w:r>
          </w:p>
          <w:p>
            <w:pPr>
              <w:pStyle w:val="15"/>
              <w:numPr>
                <w:ilvl w:val="0"/>
                <w:numId w:val="3"/>
              </w:numPr>
              <w:ind w:firstLineChars="0"/>
              <w:jc w:val="left"/>
              <w:rPr>
                <w:rFonts w:ascii="宋体" w:hAnsi="宋体" w:cs="宋体"/>
                <w:szCs w:val="21"/>
              </w:rPr>
            </w:pPr>
            <w:r>
              <w:rPr>
                <w:rFonts w:hint="eastAsia" w:ascii="宋体" w:hAnsi="宋体" w:cs="宋体"/>
                <w:szCs w:val="21"/>
              </w:rPr>
              <w:t>内外部环境及风险与机遇识别情况</w:t>
            </w:r>
          </w:p>
          <w:p>
            <w:pPr>
              <w:pStyle w:val="15"/>
              <w:numPr>
                <w:ilvl w:val="0"/>
                <w:numId w:val="3"/>
              </w:numPr>
              <w:ind w:firstLineChars="0"/>
              <w:jc w:val="left"/>
              <w:rPr>
                <w:rFonts w:ascii="宋体" w:hAnsi="宋体" w:cs="宋体"/>
                <w:szCs w:val="21"/>
              </w:rPr>
            </w:pPr>
            <w:r>
              <w:rPr>
                <w:rFonts w:hint="eastAsia" w:ascii="宋体" w:hAnsi="宋体" w:cs="宋体"/>
                <w:szCs w:val="21"/>
              </w:rPr>
              <w:t>各部门体系运行情况</w:t>
            </w:r>
          </w:p>
          <w:p>
            <w:pPr>
              <w:pStyle w:val="15"/>
              <w:numPr>
                <w:ilvl w:val="0"/>
                <w:numId w:val="3"/>
              </w:numPr>
              <w:ind w:firstLineChars="0"/>
              <w:jc w:val="left"/>
              <w:rPr>
                <w:rFonts w:ascii="宋体" w:hAnsi="宋体" w:cs="宋体"/>
                <w:szCs w:val="21"/>
              </w:rPr>
            </w:pPr>
            <w:r>
              <w:rPr>
                <w:rFonts w:hint="eastAsia" w:ascii="宋体" w:hAnsi="宋体" w:cs="宋体"/>
                <w:szCs w:val="21"/>
              </w:rPr>
              <w:t>不合格预防和纠正情况</w:t>
            </w:r>
          </w:p>
          <w:p>
            <w:pPr>
              <w:pStyle w:val="15"/>
              <w:numPr>
                <w:ilvl w:val="0"/>
                <w:numId w:val="3"/>
              </w:numPr>
              <w:ind w:firstLineChars="0"/>
              <w:jc w:val="left"/>
              <w:rPr>
                <w:rFonts w:ascii="宋体" w:hAnsi="宋体" w:cs="宋体"/>
                <w:szCs w:val="21"/>
              </w:rPr>
            </w:pPr>
            <w:r>
              <w:rPr>
                <w:rFonts w:hint="eastAsia" w:ascii="宋体" w:hAnsi="宋体" w:cs="宋体"/>
                <w:szCs w:val="21"/>
              </w:rPr>
              <w:t>公司日常检查结果</w:t>
            </w:r>
          </w:p>
          <w:p>
            <w:pPr>
              <w:pStyle w:val="15"/>
              <w:numPr>
                <w:ilvl w:val="0"/>
                <w:numId w:val="3"/>
              </w:numPr>
              <w:ind w:firstLineChars="0"/>
              <w:jc w:val="left"/>
              <w:rPr>
                <w:rFonts w:ascii="宋体" w:hAnsi="宋体" w:cs="宋体"/>
                <w:szCs w:val="21"/>
              </w:rPr>
            </w:pPr>
            <w:r>
              <w:rPr>
                <w:rFonts w:hint="eastAsia" w:ascii="宋体" w:hAnsi="宋体" w:cs="宋体"/>
                <w:szCs w:val="21"/>
              </w:rPr>
              <w:t>相关方回馈、投诉等；</w:t>
            </w:r>
          </w:p>
          <w:p>
            <w:pPr>
              <w:pStyle w:val="15"/>
              <w:numPr>
                <w:ilvl w:val="0"/>
                <w:numId w:val="3"/>
              </w:numPr>
              <w:ind w:firstLineChars="0"/>
              <w:jc w:val="left"/>
              <w:rPr>
                <w:rFonts w:ascii="宋体" w:hAnsi="宋体" w:cs="宋体"/>
                <w:szCs w:val="21"/>
              </w:rPr>
            </w:pPr>
            <w:r>
              <w:rPr>
                <w:rFonts w:hint="eastAsia" w:ascii="宋体" w:hAnsi="宋体" w:cs="宋体"/>
                <w:szCs w:val="21"/>
              </w:rPr>
              <w:t>合规性评价情况；</w:t>
            </w:r>
          </w:p>
          <w:p>
            <w:pPr>
              <w:pStyle w:val="15"/>
              <w:numPr>
                <w:ilvl w:val="0"/>
                <w:numId w:val="3"/>
              </w:numPr>
              <w:spacing w:line="280" w:lineRule="exact"/>
              <w:ind w:firstLineChars="0"/>
              <w:rPr>
                <w:rFonts w:ascii="宋体" w:hAnsi="宋体" w:cs="宋体"/>
                <w:szCs w:val="21"/>
              </w:rPr>
            </w:pPr>
            <w:r>
              <w:rPr>
                <w:rFonts w:hint="eastAsia" w:ascii="宋体" w:hAnsi="宋体" w:cs="宋体"/>
                <w:szCs w:val="21"/>
              </w:rPr>
              <w:t>体系需改进的地方；</w:t>
            </w:r>
          </w:p>
          <w:p>
            <w:pPr>
              <w:pStyle w:val="15"/>
              <w:numPr>
                <w:ilvl w:val="0"/>
                <w:numId w:val="3"/>
              </w:numPr>
              <w:spacing w:line="280" w:lineRule="exact"/>
              <w:ind w:firstLineChars="0"/>
              <w:rPr>
                <w:rFonts w:ascii="宋体" w:hAnsi="宋体" w:cs="宋体"/>
                <w:szCs w:val="21"/>
              </w:rPr>
            </w:pPr>
            <w:r>
              <w:rPr>
                <w:rFonts w:hint="eastAsia" w:ascii="宋体" w:hAnsi="宋体" w:cs="宋体"/>
                <w:szCs w:val="21"/>
              </w:rPr>
              <w:t>资源的充分性；</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hint="eastAsia" w:ascii="宋体" w:hAnsi="宋体" w:cs="宋体"/>
                <w:szCs w:val="21"/>
              </w:rPr>
            </w:pPr>
          </w:p>
          <w:p>
            <w:pPr>
              <w:spacing w:line="280" w:lineRule="exact"/>
              <w:rPr>
                <w:rFonts w:hint="eastAsia" w:ascii="宋体" w:hAnsi="宋体" w:cs="宋体"/>
                <w:szCs w:val="21"/>
                <w:lang w:val="en-US" w:eastAsia="zh-CN"/>
              </w:rPr>
            </w:pPr>
            <w:r>
              <w:rPr>
                <w:rFonts w:hint="eastAsia" w:ascii="宋体" w:hAnsi="宋体" w:cs="宋体"/>
                <w:szCs w:val="21"/>
              </w:rPr>
              <w:t>管理评审结论：</w:t>
            </w:r>
            <w:r>
              <w:rPr>
                <w:rFonts w:hint="eastAsia" w:ascii="宋体" w:hAnsi="宋体" w:cs="宋体"/>
                <w:szCs w:val="21"/>
                <w:lang w:val="en-US" w:eastAsia="zh-CN"/>
              </w:rPr>
              <w:t>1、公司质量环境管理体系，包括质量环境方针</w:t>
            </w:r>
          </w:p>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质量环境目标和管理体系的其他文件是基本适宜的和充分的，运行基本是有效的；2、公司管理体系运行情况基本正常，公司/部门的目标指标基本能够实现；3、人力资源、生产/办公设施等配备基本合理，各类资产满足要求；4、公司的各项控制措施有效，能够保证产品质量、服务质量、环境运行符合要求；5、管理体系各类风险均能得到控制。</w:t>
            </w:r>
            <w:r>
              <w:rPr>
                <w:rFonts w:hint="eastAsia" w:ascii="宋体" w:hAnsi="宋体" w:cs="宋体"/>
                <w:szCs w:val="21"/>
              </w:rPr>
              <w:t>在总结过去工作的基础上，对202</w:t>
            </w:r>
            <w:r>
              <w:rPr>
                <w:rFonts w:hint="eastAsia" w:ascii="宋体" w:hAnsi="宋体" w:cs="宋体"/>
                <w:szCs w:val="21"/>
                <w:lang w:val="en-US" w:eastAsia="zh-CN"/>
              </w:rPr>
              <w:t>1</w:t>
            </w:r>
            <w:r>
              <w:rPr>
                <w:rFonts w:hint="eastAsia" w:ascii="宋体" w:hAnsi="宋体" w:cs="宋体"/>
                <w:szCs w:val="21"/>
              </w:rPr>
              <w:t>年下半年的工作提出了新的要求，</w:t>
            </w:r>
            <w:r>
              <w:rPr>
                <w:rFonts w:hint="eastAsia" w:ascii="宋体" w:hAnsi="宋体" w:cs="宋体"/>
                <w:szCs w:val="21"/>
                <w:lang w:eastAsia="zh-CN"/>
              </w:rPr>
              <w:t>完善各部门</w:t>
            </w:r>
            <w:r>
              <w:rPr>
                <w:rFonts w:hint="eastAsia" w:ascii="宋体" w:hAnsi="宋体" w:cs="宋体"/>
                <w:szCs w:val="21"/>
                <w:lang w:val="en-US" w:eastAsia="zh-CN"/>
              </w:rPr>
              <w:t>KPI指标及其统计方式。</w:t>
            </w:r>
          </w:p>
          <w:p>
            <w:pPr>
              <w:pStyle w:val="2"/>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为使质量/环境管理体系实现预期结果和提高顾客满意，公司识别并选择改进的机会，采取包括改进产品和服务，纠正、预防或减少非预期情况给组织带来的不利影响等措施，改进体系的绩效和有效性。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sz w:val="24"/>
                <w:szCs w:val="24"/>
              </w:rPr>
            </w:pPr>
            <w:r>
              <w:rPr>
                <w:rFonts w:hint="eastAsia"/>
                <w:sz w:val="24"/>
                <w:szCs w:val="24"/>
              </w:rPr>
              <w:t>国家/地方监督抽查情况；顾客满意、相关方投诉及处理情况；一阶段问题验证，</w:t>
            </w:r>
          </w:p>
          <w:p>
            <w:pPr>
              <w:spacing w:line="280" w:lineRule="exact"/>
              <w:rPr>
                <w:rFonts w:ascii="宋体" w:hAnsi="宋体" w:cs="宋体"/>
                <w:szCs w:val="21"/>
              </w:rPr>
            </w:pPr>
            <w:r>
              <w:rPr>
                <w:rFonts w:hint="eastAsia"/>
                <w:sz w:val="24"/>
                <w:szCs w:val="24"/>
              </w:rPr>
              <w:t>验证企业相关资质证明的有效性；</w:t>
            </w:r>
          </w:p>
        </w:tc>
        <w:tc>
          <w:tcPr>
            <w:tcW w:w="1012" w:type="dxa"/>
          </w:tcPr>
          <w:p>
            <w:pPr>
              <w:spacing w:line="280" w:lineRule="exact"/>
            </w:pPr>
          </w:p>
        </w:tc>
        <w:tc>
          <w:tcPr>
            <w:tcW w:w="10642" w:type="dxa"/>
            <w:vAlign w:val="center"/>
          </w:tcPr>
          <w:p>
            <w:pPr>
              <w:pStyle w:val="2"/>
            </w:pPr>
            <w:r>
              <w:rPr>
                <w:rFonts w:hint="eastAsia"/>
              </w:rPr>
              <w:t>公司管理体系自运行以来，未发生质量、环境事故</w:t>
            </w:r>
          </w:p>
          <w:p>
            <w:pPr>
              <w:pStyle w:val="2"/>
            </w:pPr>
            <w:r>
              <w:rPr>
                <w:rFonts w:hint="eastAsia"/>
              </w:rPr>
              <w:t>管理体系运行期间未发生顾客及相关方投诉情况</w:t>
            </w:r>
          </w:p>
          <w:p>
            <w:pPr>
              <w:pStyle w:val="2"/>
            </w:pPr>
            <w:r>
              <w:rPr>
                <w:rFonts w:hint="eastAsia"/>
              </w:rPr>
              <w:t>目前没有上级主管部门对公司的在质量、环境监督抽查</w:t>
            </w:r>
          </w:p>
          <w:p>
            <w:pPr>
              <w:pStyle w:val="2"/>
            </w:pPr>
            <w:r>
              <w:rPr>
                <w:rFonts w:hint="eastAsia"/>
              </w:rPr>
              <w:t>目前公司经营过程中没有发生违反相关法律法规及其他要求的情况</w:t>
            </w:r>
          </w:p>
          <w:p>
            <w:pPr>
              <w:spacing w:line="440" w:lineRule="exact"/>
              <w:rPr>
                <w:rFonts w:hint="eastAsia" w:ascii="Arial" w:hAnsi="Arial" w:eastAsia="宋体" w:cs="Arial"/>
                <w:shd w:val="clear" w:color="auto" w:fill="FFFFFF"/>
                <w:lang w:eastAsia="zh-CN"/>
              </w:rPr>
            </w:pPr>
            <w:r>
              <w:rPr>
                <w:rFonts w:hint="eastAsia" w:ascii="Arial" w:hAnsi="Arial" w:cs="Arial"/>
                <w:shd w:val="clear" w:color="auto" w:fill="FFFFFF"/>
              </w:rPr>
              <w:t>查到企业营业执照</w:t>
            </w:r>
            <w:r>
              <w:rPr>
                <w:rFonts w:hint="eastAsia" w:ascii="Arial" w:hAnsi="Arial" w:cs="Arial"/>
                <w:shd w:val="clear" w:color="auto" w:fill="FFFFFF"/>
                <w:lang w:val="en-US" w:eastAsia="zh-CN"/>
              </w:rPr>
              <w:t>期限2010年5月20日至2060年5月19日</w:t>
            </w:r>
            <w:r>
              <w:rPr>
                <w:rFonts w:hint="eastAsia" w:ascii="Arial" w:hAnsi="Arial" w:cs="Arial"/>
                <w:shd w:val="clear" w:color="auto" w:fill="FFFFFF"/>
              </w:rPr>
              <w:t>、赣州市南康生态环境局关于公司电子元件环境影响报告表的批复、江西</w:t>
            </w:r>
            <w:r>
              <w:rPr>
                <w:rFonts w:hint="eastAsia" w:ascii="Arial" w:hAnsi="Arial" w:cs="Arial"/>
                <w:shd w:val="clear" w:color="auto" w:fill="FFFFFF"/>
                <w:lang w:eastAsia="zh-CN"/>
              </w:rPr>
              <w:t>省安康检测科技有限公</w:t>
            </w:r>
            <w:r>
              <w:rPr>
                <w:rFonts w:hint="eastAsia" w:ascii="Arial" w:hAnsi="Arial" w:cs="Arial"/>
                <w:shd w:val="clear" w:color="auto" w:fill="FFFFFF"/>
              </w:rPr>
              <w:t>司</w:t>
            </w:r>
            <w:r>
              <w:rPr>
                <w:rFonts w:hint="eastAsia" w:ascii="Arial" w:hAnsi="Arial" w:cs="Arial"/>
                <w:shd w:val="clear" w:color="auto" w:fill="FFFFFF"/>
                <w:lang w:eastAsia="zh-CN"/>
              </w:rPr>
              <w:t>和江西恒定环保检测服务有限公司</w:t>
            </w:r>
            <w:r>
              <w:rPr>
                <w:rFonts w:hint="eastAsia" w:ascii="Arial" w:hAnsi="Arial" w:cs="Arial"/>
                <w:shd w:val="clear" w:color="auto" w:fill="FFFFFF"/>
              </w:rPr>
              <w:t>对于电子元件项目竣工环保检测报告，相关资质符合要求。</w:t>
            </w:r>
          </w:p>
          <w:p>
            <w:pPr>
              <w:pStyle w:val="2"/>
              <w:rPr>
                <w:rFonts w:hint="eastAsia" w:eastAsia="宋体"/>
                <w:lang w:eastAsia="zh-CN"/>
              </w:rPr>
            </w:pPr>
            <w:r>
              <w:rPr>
                <w:rFonts w:hint="eastAsia" w:eastAsia="宋体"/>
                <w:lang w:eastAsia="zh-CN"/>
              </w:rPr>
              <w:drawing>
                <wp:inline distT="0" distB="0" distL="114300" distR="114300">
                  <wp:extent cx="3280410" cy="3606800"/>
                  <wp:effectExtent l="0" t="0" r="15240" b="12700"/>
                  <wp:docPr id="4" name="图片 4" descr="微信图片_2021070710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707101725"/>
                          <pic:cNvPicPr>
                            <a:picLocks noChangeAspect="1"/>
                          </pic:cNvPicPr>
                        </pic:nvPicPr>
                        <pic:blipFill>
                          <a:blip r:embed="rId6"/>
                          <a:stretch>
                            <a:fillRect/>
                          </a:stretch>
                        </pic:blipFill>
                        <pic:spPr>
                          <a:xfrm>
                            <a:off x="0" y="0"/>
                            <a:ext cx="3280410" cy="3606800"/>
                          </a:xfrm>
                          <a:prstGeom prst="rect">
                            <a:avLst/>
                          </a:prstGeom>
                        </pic:spPr>
                      </pic:pic>
                    </a:graphicData>
                  </a:graphic>
                </wp:inline>
              </w:drawing>
            </w:r>
            <w:r>
              <w:rPr>
                <w:rFonts w:hint="eastAsia" w:eastAsia="宋体"/>
                <w:lang w:eastAsia="zh-CN"/>
              </w:rPr>
              <w:drawing>
                <wp:inline distT="0" distB="0" distL="114300" distR="114300">
                  <wp:extent cx="3260725" cy="3616960"/>
                  <wp:effectExtent l="0" t="0" r="15875" b="2540"/>
                  <wp:docPr id="5" name="图片 5" descr="微信图片_2021070710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707104231"/>
                          <pic:cNvPicPr>
                            <a:picLocks noChangeAspect="1"/>
                          </pic:cNvPicPr>
                        </pic:nvPicPr>
                        <pic:blipFill>
                          <a:blip r:embed="rId7"/>
                          <a:stretch>
                            <a:fillRect/>
                          </a:stretch>
                        </pic:blipFill>
                        <pic:spPr>
                          <a:xfrm>
                            <a:off x="0" y="0"/>
                            <a:ext cx="3260725" cy="3616960"/>
                          </a:xfrm>
                          <a:prstGeom prst="rect">
                            <a:avLst/>
                          </a:prstGeom>
                        </pic:spPr>
                      </pic:pic>
                    </a:graphicData>
                  </a:graphic>
                </wp:inline>
              </w:drawing>
            </w:r>
          </w:p>
          <w:p>
            <w:pPr>
              <w:pStyle w:val="2"/>
            </w:pPr>
            <w:r>
              <w:rPr>
                <w:rFonts w:hint="eastAsia"/>
              </w:rPr>
              <w:t>一阶段问题已验证。</w:t>
            </w:r>
          </w:p>
        </w:tc>
        <w:tc>
          <w:tcPr>
            <w:tcW w:w="895" w:type="dxa"/>
          </w:tcPr>
          <w:p/>
        </w:tc>
      </w:tr>
    </w:tbl>
    <w:p>
      <w:r>
        <w:ptab w:relativeTo="margin" w:alignment="center" w:leader="none"/>
      </w:r>
    </w:p>
    <w:p/>
    <w:p>
      <w:bookmarkStart w:id="3" w:name="_GoBack"/>
      <w:bookmarkEnd w:id="3"/>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A01CF"/>
    <w:multiLevelType w:val="multilevel"/>
    <w:tmpl w:val="04BA01CF"/>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3F195A6D"/>
    <w:multiLevelType w:val="multilevel"/>
    <w:tmpl w:val="3F195A6D"/>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52096"/>
    <w:rsid w:val="00063031"/>
    <w:rsid w:val="000861C6"/>
    <w:rsid w:val="00094FF0"/>
    <w:rsid w:val="000A11CC"/>
    <w:rsid w:val="000E6BC4"/>
    <w:rsid w:val="000F2BB4"/>
    <w:rsid w:val="00102F7A"/>
    <w:rsid w:val="001143FA"/>
    <w:rsid w:val="001946AD"/>
    <w:rsid w:val="00197DF9"/>
    <w:rsid w:val="001A2D7F"/>
    <w:rsid w:val="001B38D9"/>
    <w:rsid w:val="001C4DE0"/>
    <w:rsid w:val="001D5B0B"/>
    <w:rsid w:val="002225D1"/>
    <w:rsid w:val="0025251D"/>
    <w:rsid w:val="0028575A"/>
    <w:rsid w:val="002B2FFC"/>
    <w:rsid w:val="002B3D1A"/>
    <w:rsid w:val="002E0791"/>
    <w:rsid w:val="002E319E"/>
    <w:rsid w:val="00305681"/>
    <w:rsid w:val="00337922"/>
    <w:rsid w:val="0034065E"/>
    <w:rsid w:val="00340867"/>
    <w:rsid w:val="003645FF"/>
    <w:rsid w:val="0037469A"/>
    <w:rsid w:val="00380837"/>
    <w:rsid w:val="00381A9A"/>
    <w:rsid w:val="003907D0"/>
    <w:rsid w:val="003A0C32"/>
    <w:rsid w:val="003A198A"/>
    <w:rsid w:val="003B676E"/>
    <w:rsid w:val="003C0C34"/>
    <w:rsid w:val="003C242A"/>
    <w:rsid w:val="003D4ACE"/>
    <w:rsid w:val="003F0455"/>
    <w:rsid w:val="003F15E9"/>
    <w:rsid w:val="00410914"/>
    <w:rsid w:val="0043136D"/>
    <w:rsid w:val="004502C9"/>
    <w:rsid w:val="004B0A04"/>
    <w:rsid w:val="00513CA4"/>
    <w:rsid w:val="00536930"/>
    <w:rsid w:val="00540703"/>
    <w:rsid w:val="00564E53"/>
    <w:rsid w:val="00570308"/>
    <w:rsid w:val="00582720"/>
    <w:rsid w:val="00591A90"/>
    <w:rsid w:val="005A7C88"/>
    <w:rsid w:val="005B4A17"/>
    <w:rsid w:val="00601651"/>
    <w:rsid w:val="0061541D"/>
    <w:rsid w:val="0061669C"/>
    <w:rsid w:val="00644FE2"/>
    <w:rsid w:val="0067640C"/>
    <w:rsid w:val="00694953"/>
    <w:rsid w:val="006E41CD"/>
    <w:rsid w:val="006E678B"/>
    <w:rsid w:val="006E69FF"/>
    <w:rsid w:val="006E6C19"/>
    <w:rsid w:val="00702EB2"/>
    <w:rsid w:val="007126DE"/>
    <w:rsid w:val="007148F7"/>
    <w:rsid w:val="00734D4F"/>
    <w:rsid w:val="00737E82"/>
    <w:rsid w:val="007757F3"/>
    <w:rsid w:val="0079159C"/>
    <w:rsid w:val="007E4106"/>
    <w:rsid w:val="007E6AEB"/>
    <w:rsid w:val="008312B1"/>
    <w:rsid w:val="00832B13"/>
    <w:rsid w:val="0085711D"/>
    <w:rsid w:val="00863B44"/>
    <w:rsid w:val="008660E8"/>
    <w:rsid w:val="00896F40"/>
    <w:rsid w:val="008973EE"/>
    <w:rsid w:val="008C3523"/>
    <w:rsid w:val="008E77BA"/>
    <w:rsid w:val="00923F05"/>
    <w:rsid w:val="009269F1"/>
    <w:rsid w:val="00935977"/>
    <w:rsid w:val="0094042F"/>
    <w:rsid w:val="00940E1C"/>
    <w:rsid w:val="00956A90"/>
    <w:rsid w:val="00971600"/>
    <w:rsid w:val="00981B59"/>
    <w:rsid w:val="00987123"/>
    <w:rsid w:val="00991AC9"/>
    <w:rsid w:val="0099631F"/>
    <w:rsid w:val="009973B4"/>
    <w:rsid w:val="009A6A93"/>
    <w:rsid w:val="009B5C67"/>
    <w:rsid w:val="009C28C1"/>
    <w:rsid w:val="009D1557"/>
    <w:rsid w:val="009F7EED"/>
    <w:rsid w:val="00A10037"/>
    <w:rsid w:val="00A10132"/>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7525C"/>
    <w:rsid w:val="00C93528"/>
    <w:rsid w:val="00CD0AC8"/>
    <w:rsid w:val="00CE2833"/>
    <w:rsid w:val="00CE315A"/>
    <w:rsid w:val="00D06F59"/>
    <w:rsid w:val="00D17159"/>
    <w:rsid w:val="00D231E4"/>
    <w:rsid w:val="00D675BB"/>
    <w:rsid w:val="00D8388C"/>
    <w:rsid w:val="00D939C1"/>
    <w:rsid w:val="00E14414"/>
    <w:rsid w:val="00E26988"/>
    <w:rsid w:val="00E817FC"/>
    <w:rsid w:val="00E9418B"/>
    <w:rsid w:val="00E967B5"/>
    <w:rsid w:val="00EA049F"/>
    <w:rsid w:val="00EA6EBE"/>
    <w:rsid w:val="00EB0164"/>
    <w:rsid w:val="00EB17A8"/>
    <w:rsid w:val="00EB47B0"/>
    <w:rsid w:val="00EC1457"/>
    <w:rsid w:val="00EC7001"/>
    <w:rsid w:val="00ED0F62"/>
    <w:rsid w:val="00F00EFC"/>
    <w:rsid w:val="00F86A1A"/>
    <w:rsid w:val="00F8791E"/>
    <w:rsid w:val="00F96918"/>
    <w:rsid w:val="00FB7B9D"/>
    <w:rsid w:val="00FC5006"/>
    <w:rsid w:val="00FE2303"/>
    <w:rsid w:val="00FF4E2A"/>
    <w:rsid w:val="01C473B2"/>
    <w:rsid w:val="02B84719"/>
    <w:rsid w:val="03640893"/>
    <w:rsid w:val="069E7BAA"/>
    <w:rsid w:val="087032D5"/>
    <w:rsid w:val="09755CC6"/>
    <w:rsid w:val="09F832E0"/>
    <w:rsid w:val="0AB3693D"/>
    <w:rsid w:val="0AE65CCB"/>
    <w:rsid w:val="0B250CFE"/>
    <w:rsid w:val="0DB71123"/>
    <w:rsid w:val="0FB77A13"/>
    <w:rsid w:val="102A2CE8"/>
    <w:rsid w:val="108219C2"/>
    <w:rsid w:val="113A015C"/>
    <w:rsid w:val="15AB31D4"/>
    <w:rsid w:val="170D1054"/>
    <w:rsid w:val="1E4D58C3"/>
    <w:rsid w:val="201C35DE"/>
    <w:rsid w:val="24FE116D"/>
    <w:rsid w:val="25EB74EE"/>
    <w:rsid w:val="28491A9D"/>
    <w:rsid w:val="2A217B6A"/>
    <w:rsid w:val="2D807A3F"/>
    <w:rsid w:val="2DFE24CF"/>
    <w:rsid w:val="2E4E2574"/>
    <w:rsid w:val="30A27C87"/>
    <w:rsid w:val="312266EE"/>
    <w:rsid w:val="34524295"/>
    <w:rsid w:val="34ED1C2F"/>
    <w:rsid w:val="351279DA"/>
    <w:rsid w:val="37D217CE"/>
    <w:rsid w:val="39A30999"/>
    <w:rsid w:val="3AA0119A"/>
    <w:rsid w:val="3AD96B89"/>
    <w:rsid w:val="3CF41BC1"/>
    <w:rsid w:val="3DAC16ED"/>
    <w:rsid w:val="3E03163F"/>
    <w:rsid w:val="3E183177"/>
    <w:rsid w:val="41C05420"/>
    <w:rsid w:val="4A5F6016"/>
    <w:rsid w:val="4B5923DE"/>
    <w:rsid w:val="4D2860C7"/>
    <w:rsid w:val="4DE94ACF"/>
    <w:rsid w:val="50AE1FD3"/>
    <w:rsid w:val="52447F1C"/>
    <w:rsid w:val="538E3E9D"/>
    <w:rsid w:val="57C3413B"/>
    <w:rsid w:val="5B270D40"/>
    <w:rsid w:val="5C9406EC"/>
    <w:rsid w:val="5EA12B9A"/>
    <w:rsid w:val="61114D6B"/>
    <w:rsid w:val="6147060A"/>
    <w:rsid w:val="61DC0836"/>
    <w:rsid w:val="62C46C7E"/>
    <w:rsid w:val="62EF22DC"/>
    <w:rsid w:val="62F43393"/>
    <w:rsid w:val="68B5413B"/>
    <w:rsid w:val="6991333C"/>
    <w:rsid w:val="6A403FC3"/>
    <w:rsid w:val="6CFB6932"/>
    <w:rsid w:val="6D2C467F"/>
    <w:rsid w:val="6EEF7A0A"/>
    <w:rsid w:val="6FF2509B"/>
    <w:rsid w:val="71474E7E"/>
    <w:rsid w:val="72C70F1A"/>
    <w:rsid w:val="74821EB4"/>
    <w:rsid w:val="79670633"/>
    <w:rsid w:val="79C428FD"/>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895</Words>
  <Characters>5108</Characters>
  <Lines>42</Lines>
  <Paragraphs>11</Paragraphs>
  <TotalTime>0</TotalTime>
  <ScaleCrop>false</ScaleCrop>
  <LinksUpToDate>false</LinksUpToDate>
  <CharactersWithSpaces>5992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2021-07-07T02:43:08Z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3B42CBD38ABC4E32A18A57136C59D6B8</vt:lpwstr>
  </property>
</Properties>
</file>