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eastAsiaTheme="minorEastAsia"/>
          <w:bCs/>
          <w:color w:val="000000"/>
          <w:sz w:val="36"/>
          <w:szCs w:val="36"/>
        </w:rPr>
      </w:pPr>
      <w:r>
        <w:rPr>
          <w:rFonts w:hAnsiTheme="minorEastAsia" w:eastAsiaTheme="minorEastAsia"/>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809" w:type="dxa"/>
            <w:vMerge w:val="restart"/>
            <w:vAlign w:val="center"/>
          </w:tcPr>
          <w:p>
            <w:pPr>
              <w:spacing w:before="120"/>
              <w:jc w:val="center"/>
              <w:rPr>
                <w:rFonts w:eastAsiaTheme="minorEastAsia"/>
                <w:sz w:val="24"/>
                <w:szCs w:val="24"/>
              </w:rPr>
            </w:pPr>
            <w:r>
              <w:rPr>
                <w:rFonts w:hAnsiTheme="minorEastAsia" w:eastAsiaTheme="minorEastAsia"/>
                <w:sz w:val="24"/>
                <w:szCs w:val="24"/>
              </w:rPr>
              <w:t>过程与活动、</w:t>
            </w:r>
          </w:p>
          <w:p>
            <w:pPr>
              <w:jc w:val="center"/>
              <w:rPr>
                <w:rFonts w:eastAsiaTheme="minorEastAsia"/>
                <w:sz w:val="24"/>
                <w:szCs w:val="24"/>
              </w:rPr>
            </w:pPr>
            <w:r>
              <w:rPr>
                <w:rFonts w:hAnsiTheme="minorEastAsia" w:eastAsiaTheme="minorEastAsia"/>
                <w:sz w:val="24"/>
                <w:szCs w:val="24"/>
              </w:rPr>
              <w:t>抽样计划</w:t>
            </w:r>
          </w:p>
        </w:tc>
        <w:tc>
          <w:tcPr>
            <w:tcW w:w="1311" w:type="dxa"/>
            <w:vMerge w:val="restart"/>
            <w:vAlign w:val="center"/>
          </w:tcPr>
          <w:p>
            <w:pPr>
              <w:rPr>
                <w:rFonts w:eastAsiaTheme="minorEastAsia"/>
                <w:sz w:val="24"/>
                <w:szCs w:val="24"/>
              </w:rPr>
            </w:pPr>
            <w:r>
              <w:rPr>
                <w:rFonts w:hAnsiTheme="minorEastAsia" w:eastAsiaTheme="minorEastAsia"/>
                <w:sz w:val="24"/>
                <w:szCs w:val="24"/>
              </w:rPr>
              <w:t>涉及条款</w:t>
            </w:r>
          </w:p>
        </w:tc>
        <w:tc>
          <w:tcPr>
            <w:tcW w:w="10004" w:type="dxa"/>
            <w:vAlign w:val="center"/>
          </w:tcPr>
          <w:p>
            <w:pPr>
              <w:rPr>
                <w:rFonts w:eastAsiaTheme="minorEastAsia"/>
                <w:sz w:val="24"/>
                <w:szCs w:val="24"/>
              </w:rPr>
            </w:pPr>
            <w:r>
              <w:rPr>
                <w:rFonts w:hAnsiTheme="minorEastAsia" w:eastAsiaTheme="minorEastAsia"/>
                <w:sz w:val="24"/>
                <w:szCs w:val="24"/>
              </w:rPr>
              <w:t>受审核部门：品保部</w:t>
            </w:r>
            <w:r>
              <w:rPr>
                <w:rFonts w:eastAsiaTheme="minorEastAsia"/>
                <w:sz w:val="24"/>
                <w:szCs w:val="24"/>
              </w:rPr>
              <w:t xml:space="preserve">   </w:t>
            </w:r>
            <w:r>
              <w:rPr>
                <w:rFonts w:hAnsiTheme="minorEastAsia" w:eastAsiaTheme="minorEastAsia"/>
                <w:sz w:val="24"/>
                <w:szCs w:val="24"/>
              </w:rPr>
              <w:t>主管领导：刘定生</w:t>
            </w:r>
            <w:r>
              <w:rPr>
                <w:rFonts w:hint="eastAsia" w:hAnsiTheme="minorEastAsia" w:eastAsiaTheme="minorEastAsia"/>
                <w:sz w:val="24"/>
                <w:szCs w:val="24"/>
              </w:rPr>
              <w:t xml:space="preserve"> </w:t>
            </w:r>
            <w:r>
              <w:rPr>
                <w:rFonts w:eastAsiaTheme="minorEastAsia"/>
                <w:sz w:val="24"/>
                <w:szCs w:val="24"/>
              </w:rPr>
              <w:t xml:space="preserve"> </w:t>
            </w:r>
            <w:r>
              <w:rPr>
                <w:rFonts w:hAnsiTheme="minorEastAsia" w:eastAsiaTheme="minorEastAsia"/>
                <w:sz w:val="24"/>
                <w:szCs w:val="24"/>
              </w:rPr>
              <w:t>陪同人员：</w:t>
            </w:r>
            <w:r>
              <w:rPr>
                <w:rFonts w:hint="eastAsia" w:ascii="宋体" w:hAnsi="宋体"/>
                <w:sz w:val="24"/>
              </w:rPr>
              <w:t>詹发松</w:t>
            </w:r>
          </w:p>
        </w:tc>
        <w:tc>
          <w:tcPr>
            <w:tcW w:w="1585" w:type="dxa"/>
            <w:vMerge w:val="restart"/>
            <w:vAlign w:val="center"/>
          </w:tcPr>
          <w:p>
            <w:pPr>
              <w:rPr>
                <w:rFonts w:eastAsiaTheme="minorEastAsia"/>
                <w:sz w:val="24"/>
                <w:szCs w:val="24"/>
              </w:rPr>
            </w:pPr>
            <w:r>
              <w:rPr>
                <w:rFonts w:hAnsiTheme="minorEastAsia" w:eastAsia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eastAsiaTheme="minorEastAsia"/>
                <w:sz w:val="24"/>
                <w:szCs w:val="24"/>
              </w:rPr>
            </w:pPr>
          </w:p>
        </w:tc>
        <w:tc>
          <w:tcPr>
            <w:tcW w:w="1311" w:type="dxa"/>
            <w:vMerge w:val="continue"/>
            <w:vAlign w:val="center"/>
          </w:tcPr>
          <w:p>
            <w:pPr>
              <w:rPr>
                <w:rFonts w:eastAsiaTheme="minorEastAsia"/>
                <w:sz w:val="24"/>
                <w:szCs w:val="24"/>
              </w:rPr>
            </w:pPr>
          </w:p>
        </w:tc>
        <w:tc>
          <w:tcPr>
            <w:tcW w:w="10004" w:type="dxa"/>
            <w:vAlign w:val="center"/>
          </w:tcPr>
          <w:p>
            <w:pPr>
              <w:spacing w:before="120"/>
              <w:rPr>
                <w:rFonts w:hint="eastAsia" w:eastAsiaTheme="minorEastAsia"/>
                <w:sz w:val="24"/>
                <w:szCs w:val="24"/>
                <w:lang w:eastAsia="zh-CN"/>
              </w:rPr>
            </w:pPr>
            <w:r>
              <w:rPr>
                <w:rFonts w:hAnsiTheme="minorEastAsia" w:eastAsiaTheme="minorEastAsia"/>
                <w:sz w:val="24"/>
                <w:szCs w:val="24"/>
              </w:rPr>
              <w:t>审核员：</w:t>
            </w:r>
            <w:r>
              <w:rPr>
                <w:rFonts w:hint="eastAsia" w:hAnsiTheme="minorEastAsia" w:eastAsiaTheme="minorEastAsia"/>
                <w:sz w:val="24"/>
                <w:szCs w:val="24"/>
                <w:lang w:val="en-US" w:eastAsia="zh-CN"/>
              </w:rPr>
              <w:t xml:space="preserve">强兴             </w:t>
            </w:r>
            <w:r>
              <w:rPr>
                <w:rFonts w:eastAsiaTheme="minorEastAsia"/>
                <w:sz w:val="24"/>
                <w:szCs w:val="24"/>
              </w:rPr>
              <w:t xml:space="preserve"> </w:t>
            </w:r>
            <w:r>
              <w:rPr>
                <w:rFonts w:hAnsiTheme="minorEastAsia" w:eastAsiaTheme="minorEastAsia"/>
                <w:sz w:val="24"/>
                <w:szCs w:val="24"/>
              </w:rPr>
              <w:t>审核时间：</w:t>
            </w:r>
            <w:r>
              <w:rPr>
                <w:rFonts w:eastAsiaTheme="minorEastAsia"/>
                <w:sz w:val="24"/>
                <w:szCs w:val="24"/>
              </w:rPr>
              <w:t>202</w:t>
            </w:r>
            <w:r>
              <w:rPr>
                <w:rFonts w:hint="eastAsia" w:eastAsiaTheme="minorEastAsia"/>
                <w:sz w:val="24"/>
                <w:szCs w:val="24"/>
                <w:lang w:val="en-US" w:eastAsia="zh-CN"/>
              </w:rPr>
              <w:t>1</w:t>
            </w:r>
            <w:r>
              <w:rPr>
                <w:rFonts w:eastAsiaTheme="minorEastAsia"/>
                <w:sz w:val="24"/>
                <w:szCs w:val="24"/>
              </w:rPr>
              <w:t>.</w:t>
            </w:r>
            <w:r>
              <w:rPr>
                <w:rFonts w:hint="eastAsia" w:eastAsiaTheme="minorEastAsia"/>
                <w:sz w:val="24"/>
                <w:szCs w:val="24"/>
                <w:lang w:val="en-US" w:eastAsia="zh-CN"/>
              </w:rPr>
              <w:t>7</w:t>
            </w:r>
            <w:r>
              <w:rPr>
                <w:rFonts w:eastAsiaTheme="minorEastAsia"/>
                <w:sz w:val="24"/>
                <w:szCs w:val="24"/>
              </w:rPr>
              <w:t>.</w:t>
            </w:r>
            <w:r>
              <w:rPr>
                <w:rFonts w:hint="eastAsia" w:eastAsiaTheme="minorEastAsia"/>
                <w:sz w:val="24"/>
                <w:szCs w:val="24"/>
                <w:lang w:val="en-US" w:eastAsia="zh-CN"/>
              </w:rPr>
              <w:t>5</w:t>
            </w:r>
          </w:p>
        </w:tc>
        <w:tc>
          <w:tcPr>
            <w:tcW w:w="1585" w:type="dxa"/>
            <w:vMerge w:val="continue"/>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eastAsiaTheme="minorEastAsia"/>
                <w:sz w:val="24"/>
                <w:szCs w:val="24"/>
              </w:rPr>
            </w:pPr>
          </w:p>
        </w:tc>
        <w:tc>
          <w:tcPr>
            <w:tcW w:w="1311" w:type="dxa"/>
            <w:vMerge w:val="continue"/>
            <w:vAlign w:val="center"/>
          </w:tcPr>
          <w:p>
            <w:pPr>
              <w:rPr>
                <w:rFonts w:eastAsiaTheme="minorEastAsia"/>
                <w:sz w:val="24"/>
                <w:szCs w:val="24"/>
              </w:rPr>
            </w:pPr>
          </w:p>
        </w:tc>
        <w:tc>
          <w:tcPr>
            <w:tcW w:w="10004" w:type="dxa"/>
            <w:vAlign w:val="center"/>
          </w:tcPr>
          <w:p>
            <w:pPr>
              <w:rPr>
                <w:rFonts w:eastAsiaTheme="minorEastAsia"/>
                <w:sz w:val="24"/>
                <w:szCs w:val="24"/>
              </w:rPr>
            </w:pPr>
            <w:r>
              <w:rPr>
                <w:rFonts w:hAnsiTheme="minorEastAsia" w:eastAsiaTheme="minorEastAsia"/>
                <w:sz w:val="24"/>
                <w:szCs w:val="24"/>
              </w:rPr>
              <w:t>审核条款：</w:t>
            </w:r>
            <w:r>
              <w:rPr>
                <w:rFonts w:eastAsiaTheme="minorEastAsia"/>
                <w:kern w:val="0"/>
                <w:szCs w:val="21"/>
              </w:rPr>
              <w:t>5.3</w:t>
            </w:r>
            <w:r>
              <w:rPr>
                <w:rFonts w:hAnsiTheme="minorEastAsia" w:eastAsiaTheme="minorEastAsia"/>
                <w:kern w:val="0"/>
                <w:szCs w:val="21"/>
              </w:rPr>
              <w:t>组织的岗位、职责和权限、</w:t>
            </w:r>
            <w:r>
              <w:rPr>
                <w:rFonts w:eastAsiaTheme="minorEastAsia"/>
                <w:kern w:val="0"/>
                <w:szCs w:val="21"/>
              </w:rPr>
              <w:t>6.2</w:t>
            </w:r>
            <w:r>
              <w:rPr>
                <w:rFonts w:hAnsiTheme="minorEastAsia" w:eastAsiaTheme="minorEastAsia"/>
                <w:kern w:val="0"/>
                <w:szCs w:val="21"/>
              </w:rPr>
              <w:t>环境目标、</w:t>
            </w:r>
            <w:r>
              <w:rPr>
                <w:rFonts w:hint="eastAsia" w:eastAsiaTheme="minorEastAsia"/>
                <w:kern w:val="0"/>
                <w:szCs w:val="21"/>
              </w:rPr>
              <w:t>6.1.3合规义务、6.1.4措施的策划、8.1运行策划和控制、9.1监视、测量、分析和评价（9.1.1总则、9.1.2合规性评价）</w:t>
            </w:r>
            <w:r>
              <w:rPr>
                <w:rFonts w:hAnsiTheme="minorEastAsia" w:eastAsiaTheme="minorEastAsia"/>
                <w:kern w:val="0"/>
                <w:szCs w:val="21"/>
              </w:rPr>
              <w:t>、</w:t>
            </w:r>
            <w:r>
              <w:rPr>
                <w:rFonts w:eastAsiaTheme="minorEastAsia"/>
                <w:kern w:val="0"/>
                <w:szCs w:val="21"/>
              </w:rPr>
              <w:t>8.1</w:t>
            </w:r>
            <w:r>
              <w:rPr>
                <w:rFonts w:hAnsiTheme="minorEastAsia" w:eastAsiaTheme="minorEastAsia"/>
                <w:kern w:val="0"/>
                <w:szCs w:val="21"/>
              </w:rPr>
              <w:t>运行策划和控制、</w:t>
            </w:r>
            <w:r>
              <w:rPr>
                <w:rFonts w:eastAsiaTheme="minorEastAsia"/>
                <w:kern w:val="0"/>
                <w:szCs w:val="21"/>
              </w:rPr>
              <w:t>8.2</w:t>
            </w:r>
            <w:r>
              <w:rPr>
                <w:rFonts w:hAnsiTheme="minorEastAsia" w:eastAsiaTheme="minorEastAsia"/>
                <w:kern w:val="0"/>
                <w:szCs w:val="21"/>
              </w:rPr>
              <w:t>应急准备和响应，</w:t>
            </w:r>
            <w:r>
              <w:rPr>
                <w:rFonts w:hint="eastAsia" w:ascii="宋体" w:hAnsi="宋体" w:cs="Arial"/>
                <w:szCs w:val="21"/>
              </w:rPr>
              <w:t>9.2 内部审核、10.2不符合/事件和纠正措施</w:t>
            </w:r>
          </w:p>
        </w:tc>
        <w:tc>
          <w:tcPr>
            <w:tcW w:w="1585" w:type="dxa"/>
            <w:vMerge w:val="continue"/>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360" w:lineRule="auto"/>
              <w:rPr>
                <w:rFonts w:eastAsiaTheme="minorEastAsia"/>
                <w:b/>
                <w:sz w:val="24"/>
                <w:szCs w:val="24"/>
              </w:rPr>
            </w:pPr>
            <w:r>
              <w:rPr>
                <w:rFonts w:hAnsiTheme="minorEastAsia" w:eastAsiaTheme="minorEastAsia"/>
                <w:szCs w:val="21"/>
              </w:rPr>
              <w:t>组织的岗位、职责和权限</w:t>
            </w:r>
          </w:p>
        </w:tc>
        <w:tc>
          <w:tcPr>
            <w:tcW w:w="1311" w:type="dxa"/>
          </w:tcPr>
          <w:p>
            <w:pPr>
              <w:spacing w:line="360" w:lineRule="auto"/>
              <w:rPr>
                <w:rFonts w:eastAsiaTheme="minorEastAsia"/>
                <w:szCs w:val="21"/>
              </w:rPr>
            </w:pPr>
            <w:r>
              <w:rPr>
                <w:rFonts w:eastAsiaTheme="minorEastAsia"/>
                <w:szCs w:val="21"/>
              </w:rPr>
              <w:t>E</w:t>
            </w:r>
            <w:r>
              <w:rPr>
                <w:rFonts w:hAnsiTheme="minorEastAsia" w:eastAsiaTheme="minorEastAsia"/>
                <w:szCs w:val="21"/>
              </w:rPr>
              <w:t>：</w:t>
            </w:r>
            <w:r>
              <w:rPr>
                <w:rFonts w:eastAsiaTheme="minorEastAsia"/>
                <w:szCs w:val="21"/>
              </w:rPr>
              <w:t xml:space="preserve"> 5.3</w:t>
            </w:r>
          </w:p>
        </w:tc>
        <w:tc>
          <w:tcPr>
            <w:tcW w:w="10004" w:type="dxa"/>
          </w:tcPr>
          <w:p>
            <w:pPr>
              <w:spacing w:line="420" w:lineRule="exact"/>
              <w:ind w:firstLine="570"/>
              <w:rPr>
                <w:rFonts w:hAnsiTheme="minorEastAsia" w:eastAsiaTheme="minorEastAsia"/>
                <w:szCs w:val="21"/>
              </w:rPr>
            </w:pPr>
            <w:r>
              <w:rPr>
                <w:rFonts w:hAnsiTheme="minorEastAsia" w:eastAsiaTheme="minorEastAsia"/>
                <w:szCs w:val="21"/>
              </w:rPr>
              <w:t>现场审核过程了解到品管部门主要负责：</w:t>
            </w:r>
          </w:p>
          <w:p>
            <w:pPr>
              <w:spacing w:line="420" w:lineRule="exact"/>
              <w:ind w:firstLine="570"/>
              <w:rPr>
                <w:rFonts w:eastAsiaTheme="minorEastAsia"/>
                <w:szCs w:val="21"/>
              </w:rPr>
            </w:pPr>
            <w:r>
              <w:rPr>
                <w:rFonts w:hAnsiTheme="minorEastAsia" w:eastAsiaTheme="minorEastAsia"/>
                <w:sz w:val="24"/>
                <w:szCs w:val="24"/>
              </w:rPr>
              <w:t>原材料、产品检验控制、文件记录的管理控制；环境因素和危险源进行识别和控制；体系运行检查、内审、法律法规收集及合规性评价，应急准备和相应控制，不符合纠正与预防，事故事件调查处理等</w:t>
            </w:r>
          </w:p>
          <w:p>
            <w:pPr>
              <w:tabs>
                <w:tab w:val="left" w:pos="6597"/>
              </w:tabs>
              <w:spacing w:line="360" w:lineRule="auto"/>
              <w:rPr>
                <w:rFonts w:eastAsiaTheme="minorEastAsia"/>
                <w:szCs w:val="21"/>
              </w:rPr>
            </w:pPr>
            <w:r>
              <w:rPr>
                <w:rFonts w:hAnsiTheme="minorEastAsia" w:eastAsiaTheme="minorEastAsia"/>
                <w:szCs w:val="21"/>
              </w:rPr>
              <w:t>经与经理交流发现其对部门职责权限基本掌握，部门职责得到合理分配，未发现因职责不清责任不明而造成体系运行失效的情况。</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09" w:type="dxa"/>
            <w:vAlign w:val="center"/>
          </w:tcPr>
          <w:p>
            <w:pPr>
              <w:spacing w:line="360" w:lineRule="auto"/>
              <w:rPr>
                <w:rFonts w:eastAsiaTheme="minorEastAsia"/>
                <w:szCs w:val="21"/>
              </w:rPr>
            </w:pPr>
            <w:r>
              <w:rPr>
                <w:rFonts w:hAnsiTheme="minorEastAsia" w:eastAsiaTheme="minorEastAsia"/>
                <w:szCs w:val="21"/>
              </w:rPr>
              <w:t>目标</w:t>
            </w:r>
          </w:p>
        </w:tc>
        <w:tc>
          <w:tcPr>
            <w:tcW w:w="1311" w:type="dxa"/>
            <w:vAlign w:val="center"/>
          </w:tcPr>
          <w:p>
            <w:pPr>
              <w:spacing w:line="360" w:lineRule="auto"/>
              <w:rPr>
                <w:rFonts w:eastAsiaTheme="minorEastAsia"/>
                <w:szCs w:val="21"/>
              </w:rPr>
            </w:pPr>
            <w:r>
              <w:rPr>
                <w:rFonts w:eastAsiaTheme="minorEastAsia"/>
                <w:szCs w:val="21"/>
              </w:rPr>
              <w:t>E:6.2</w:t>
            </w:r>
          </w:p>
        </w:tc>
        <w:tc>
          <w:tcPr>
            <w:tcW w:w="10004" w:type="dxa"/>
            <w:vAlign w:val="center"/>
          </w:tcPr>
          <w:p>
            <w:pPr>
              <w:spacing w:line="360" w:lineRule="auto"/>
              <w:rPr>
                <w:rFonts w:eastAsiaTheme="minorEastAsia"/>
                <w:szCs w:val="21"/>
              </w:rPr>
            </w:pPr>
            <w:r>
              <w:rPr>
                <w:rFonts w:hAnsiTheme="minorEastAsia" w:eastAsiaTheme="minorEastAsia"/>
                <w:szCs w:val="21"/>
              </w:rPr>
              <w:t>部门目标：</w:t>
            </w:r>
          </w:p>
          <w:p>
            <w:pPr>
              <w:pStyle w:val="14"/>
              <w:spacing w:line="360" w:lineRule="auto"/>
              <w:jc w:val="left"/>
              <w:rPr>
                <w:rFonts w:eastAsiaTheme="minorEastAsia"/>
                <w:szCs w:val="21"/>
              </w:rPr>
            </w:pPr>
            <w:r>
              <w:rPr>
                <w:rFonts w:hAnsiTheme="minorEastAsia" w:eastAsiaTheme="minorEastAsia"/>
                <w:color w:val="000000"/>
                <w:szCs w:val="21"/>
              </w:rPr>
              <w:t>办公垃圾分类排放，检查合格率</w:t>
            </w:r>
            <w:r>
              <w:rPr>
                <w:rFonts w:eastAsiaTheme="minorEastAsia"/>
                <w:color w:val="000000"/>
                <w:szCs w:val="21"/>
              </w:rPr>
              <w:t>100%</w:t>
            </w:r>
            <w:r>
              <w:rPr>
                <w:rFonts w:hAnsiTheme="minorEastAsia" w:eastAsiaTheme="minorEastAsia"/>
                <w:szCs w:val="21"/>
              </w:rPr>
              <w:t>；</w:t>
            </w:r>
          </w:p>
          <w:p>
            <w:pPr>
              <w:pStyle w:val="14"/>
              <w:spacing w:line="360" w:lineRule="auto"/>
              <w:jc w:val="left"/>
              <w:rPr>
                <w:rFonts w:eastAsiaTheme="minorEastAsia"/>
                <w:szCs w:val="21"/>
              </w:rPr>
            </w:pPr>
            <w:r>
              <w:rPr>
                <w:rFonts w:hAnsiTheme="minorEastAsia" w:eastAsiaTheme="minorEastAsia"/>
                <w:szCs w:val="21"/>
              </w:rPr>
              <w:t>火灾事故为</w:t>
            </w:r>
            <w:r>
              <w:rPr>
                <w:rFonts w:eastAsiaTheme="minorEastAsia"/>
                <w:szCs w:val="21"/>
              </w:rPr>
              <w:t>0</w:t>
            </w:r>
            <w:r>
              <w:rPr>
                <w:rFonts w:hAnsiTheme="minorEastAsia" w:eastAsiaTheme="minorEastAsia"/>
                <w:szCs w:val="21"/>
              </w:rPr>
              <w:t>；</w:t>
            </w:r>
          </w:p>
          <w:p>
            <w:pPr>
              <w:spacing w:line="360" w:lineRule="auto"/>
              <w:rPr>
                <w:rFonts w:hAnsiTheme="minorEastAsia" w:eastAsiaTheme="minorEastAsia"/>
                <w:szCs w:val="21"/>
              </w:rPr>
            </w:pPr>
            <w:r>
              <w:rPr>
                <w:rFonts w:eastAsiaTheme="minorEastAsia"/>
                <w:szCs w:val="21"/>
              </w:rPr>
              <w:t>202</w:t>
            </w:r>
            <w:r>
              <w:rPr>
                <w:rFonts w:hint="eastAsia" w:eastAsiaTheme="minorEastAsia"/>
                <w:szCs w:val="21"/>
                <w:lang w:val="en-US" w:eastAsia="zh-CN"/>
              </w:rPr>
              <w:t>1</w:t>
            </w:r>
            <w:r>
              <w:rPr>
                <w:rFonts w:eastAsiaTheme="minorEastAsia"/>
                <w:szCs w:val="21"/>
              </w:rPr>
              <w:t>.</w:t>
            </w:r>
            <w:r>
              <w:rPr>
                <w:rFonts w:hint="eastAsia" w:eastAsiaTheme="minorEastAsia"/>
                <w:szCs w:val="21"/>
                <w:lang w:val="en-US" w:eastAsia="zh-CN"/>
              </w:rPr>
              <w:t>1</w:t>
            </w:r>
            <w:r>
              <w:rPr>
                <w:rFonts w:eastAsiaTheme="minorEastAsia"/>
                <w:szCs w:val="21"/>
              </w:rPr>
              <w:t>-</w:t>
            </w:r>
            <w:r>
              <w:rPr>
                <w:rFonts w:hint="eastAsia" w:eastAsiaTheme="minorEastAsia"/>
                <w:szCs w:val="21"/>
                <w:lang w:val="en-US" w:eastAsia="zh-CN"/>
              </w:rPr>
              <w:t>5</w:t>
            </w:r>
            <w:r>
              <w:rPr>
                <w:rFonts w:hAnsiTheme="minorEastAsia" w:eastAsiaTheme="minorEastAsia"/>
                <w:szCs w:val="21"/>
              </w:rPr>
              <w:t>月考核情况：经查已完成。</w:t>
            </w:r>
          </w:p>
          <w:p>
            <w:pPr>
              <w:spacing w:line="360" w:lineRule="auto"/>
              <w:ind w:firstLine="480" w:firstLineChars="200"/>
              <w:rPr>
                <w:rFonts w:hAnsiTheme="minorEastAsia" w:eastAsiaTheme="minorEastAsia"/>
                <w:sz w:val="24"/>
                <w:szCs w:val="24"/>
              </w:rPr>
            </w:pPr>
            <w:r>
              <w:rPr>
                <w:rFonts w:hAnsiTheme="minorEastAsia" w:eastAsiaTheme="minorEastAsia"/>
                <w:sz w:val="24"/>
                <w:szCs w:val="24"/>
              </w:rPr>
              <w:t>抽环境目标管理方案，明确了措施、责任人、时间、资金投入要求。</w:t>
            </w: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9"/>
              <w:gridCol w:w="910"/>
              <w:gridCol w:w="827"/>
              <w:gridCol w:w="1012"/>
              <w:gridCol w:w="4700"/>
              <w:gridCol w:w="845"/>
              <w:gridCol w:w="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jc w:val="center"/>
              </w:trPr>
              <w:tc>
                <w:tcPr>
                  <w:tcW w:w="409" w:type="dxa"/>
                  <w:vMerge w:val="restart"/>
                  <w:vAlign w:val="center"/>
                </w:tcPr>
                <w:p>
                  <w:r>
                    <w:rPr>
                      <w:rFonts w:hint="eastAsia"/>
                    </w:rPr>
                    <w:t>序号</w:t>
                  </w:r>
                </w:p>
              </w:tc>
              <w:tc>
                <w:tcPr>
                  <w:tcW w:w="910" w:type="dxa"/>
                  <w:vMerge w:val="restart"/>
                  <w:vAlign w:val="center"/>
                </w:tcPr>
                <w:p>
                  <w:r>
                    <w:rPr>
                      <w:rFonts w:hint="eastAsia"/>
                    </w:rPr>
                    <w:t>重要环境因    素</w:t>
                  </w:r>
                </w:p>
              </w:tc>
              <w:tc>
                <w:tcPr>
                  <w:tcW w:w="827" w:type="dxa"/>
                  <w:vMerge w:val="restart"/>
                  <w:vAlign w:val="center"/>
                </w:tcPr>
                <w:p>
                  <w:r>
                    <w:rPr>
                      <w:rFonts w:hint="eastAsia"/>
                    </w:rPr>
                    <w:t>环境目标</w:t>
                  </w:r>
                </w:p>
              </w:tc>
              <w:tc>
                <w:tcPr>
                  <w:tcW w:w="1012" w:type="dxa"/>
                  <w:vMerge w:val="restart"/>
                  <w:vAlign w:val="center"/>
                </w:tcPr>
                <w:p>
                  <w:r>
                    <w:rPr>
                      <w:rFonts w:hint="eastAsia"/>
                    </w:rPr>
                    <w:t>指   标</w:t>
                  </w:r>
                </w:p>
              </w:tc>
              <w:tc>
                <w:tcPr>
                  <w:tcW w:w="6481" w:type="dxa"/>
                  <w:gridSpan w:val="3"/>
                  <w:vAlign w:val="center"/>
                </w:tcPr>
                <w:p>
                  <w:r>
                    <w:rPr>
                      <w:rFonts w:hint="eastAsia"/>
                    </w:rPr>
                    <w:t>计 划 采 取 的 方 法 和 措 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409" w:type="dxa"/>
                  <w:vMerge w:val="continue"/>
                  <w:vAlign w:val="center"/>
                </w:tcPr>
                <w:p/>
              </w:tc>
              <w:tc>
                <w:tcPr>
                  <w:tcW w:w="910" w:type="dxa"/>
                  <w:vMerge w:val="continue"/>
                  <w:vAlign w:val="center"/>
                </w:tcPr>
                <w:p/>
              </w:tc>
              <w:tc>
                <w:tcPr>
                  <w:tcW w:w="827" w:type="dxa"/>
                  <w:vMerge w:val="continue"/>
                  <w:vAlign w:val="center"/>
                </w:tcPr>
                <w:p/>
              </w:tc>
              <w:tc>
                <w:tcPr>
                  <w:tcW w:w="1012" w:type="dxa"/>
                  <w:vMerge w:val="continue"/>
                  <w:vAlign w:val="center"/>
                </w:tcPr>
                <w:p/>
              </w:tc>
              <w:tc>
                <w:tcPr>
                  <w:tcW w:w="4700" w:type="dxa"/>
                  <w:vAlign w:val="center"/>
                </w:tcPr>
                <w:p>
                  <w:r>
                    <w:rPr>
                      <w:rFonts w:hint="eastAsia"/>
                    </w:rPr>
                    <w:t>主  要  措  施</w:t>
                  </w:r>
                </w:p>
              </w:tc>
              <w:tc>
                <w:tcPr>
                  <w:tcW w:w="845" w:type="dxa"/>
                  <w:vAlign w:val="center"/>
                </w:tcPr>
                <w:p>
                  <w:r>
                    <w:rPr>
                      <w:rFonts w:hint="eastAsia"/>
                    </w:rPr>
                    <w:t>责任部门</w:t>
                  </w:r>
                </w:p>
              </w:tc>
              <w:tc>
                <w:tcPr>
                  <w:tcW w:w="936" w:type="dxa"/>
                  <w:vAlign w:val="center"/>
                </w:tcPr>
                <w:p>
                  <w:r>
                    <w:rPr>
                      <w:rFonts w:hint="eastAsia"/>
                    </w:rPr>
                    <w:t>监控部门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409" w:type="dxa"/>
                  <w:vAlign w:val="center"/>
                </w:tcPr>
                <w:p>
                  <w:r>
                    <w:rPr>
                      <w:rFonts w:hint="eastAsia"/>
                    </w:rPr>
                    <w:t>1</w:t>
                  </w:r>
                </w:p>
              </w:tc>
              <w:tc>
                <w:tcPr>
                  <w:tcW w:w="910" w:type="dxa"/>
                  <w:vAlign w:val="center"/>
                </w:tcPr>
                <w:p>
                  <w:r>
                    <w:rPr>
                      <w:rFonts w:hint="eastAsia"/>
                    </w:rPr>
                    <w:t>资源消耗</w:t>
                  </w:r>
                </w:p>
              </w:tc>
              <w:tc>
                <w:tcPr>
                  <w:tcW w:w="827" w:type="dxa"/>
                  <w:vAlign w:val="center"/>
                </w:tcPr>
                <w:p>
                  <w:r>
                    <w:rPr>
                      <w:rFonts w:hint="eastAsia"/>
                    </w:rPr>
                    <w:t>节约资源</w:t>
                  </w:r>
                </w:p>
                <w:p>
                  <w:r>
                    <w:rPr>
                      <w:rFonts w:hint="eastAsia"/>
                    </w:rPr>
                    <w:t>节能降耗</w:t>
                  </w:r>
                </w:p>
              </w:tc>
              <w:tc>
                <w:tcPr>
                  <w:tcW w:w="1012" w:type="dxa"/>
                  <w:vAlign w:val="center"/>
                </w:tcPr>
                <w:p>
                  <w:r>
                    <w:rPr>
                      <w:rFonts w:hint="eastAsia"/>
                    </w:rPr>
                    <w:t>万元产值降低水电消耗1%</w:t>
                  </w:r>
                </w:p>
              </w:tc>
              <w:tc>
                <w:tcPr>
                  <w:tcW w:w="4700" w:type="dxa"/>
                  <w:vAlign w:val="center"/>
                </w:tcPr>
                <w:p>
                  <w:r>
                    <w:rPr>
                      <w:rFonts w:hint="eastAsia"/>
                    </w:rPr>
                    <w:t>电的消耗：</w:t>
                  </w:r>
                </w:p>
                <w:p>
                  <w:r>
                    <w:rPr>
                      <w:rFonts w:hint="eastAsia"/>
                    </w:rPr>
                    <w:t>1、杜绝长明灯，人走电器关闭；</w:t>
                  </w:r>
                </w:p>
                <w:p>
                  <w:r>
                    <w:rPr>
                      <w:rFonts w:hint="eastAsia"/>
                    </w:rPr>
                    <w:t>2、加强检查，杜绝设备空转</w:t>
                  </w:r>
                </w:p>
              </w:tc>
              <w:tc>
                <w:tcPr>
                  <w:tcW w:w="845" w:type="dxa"/>
                  <w:vAlign w:val="center"/>
                </w:tcPr>
                <w:p>
                  <w:r>
                    <w:rPr>
                      <w:rFonts w:hint="eastAsia"/>
                    </w:rPr>
                    <w:t>生产部</w:t>
                  </w:r>
                </w:p>
              </w:tc>
              <w:tc>
                <w:tcPr>
                  <w:tcW w:w="936" w:type="dxa"/>
                  <w:vAlign w:val="center"/>
                </w:tcPr>
                <w:p>
                  <w:r>
                    <w:rPr>
                      <w:rFonts w:hint="eastAsia"/>
                    </w:rPr>
                    <w:t>行政人事部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2" w:hRule="atLeast"/>
                <w:jc w:val="center"/>
              </w:trPr>
              <w:tc>
                <w:tcPr>
                  <w:tcW w:w="409" w:type="dxa"/>
                  <w:vAlign w:val="center"/>
                </w:tcPr>
                <w:p>
                  <w:r>
                    <w:rPr>
                      <w:rFonts w:hint="eastAsia"/>
                    </w:rPr>
                    <w:t>2</w:t>
                  </w:r>
                </w:p>
              </w:tc>
              <w:tc>
                <w:tcPr>
                  <w:tcW w:w="910" w:type="dxa"/>
                  <w:vAlign w:val="center"/>
                </w:tcPr>
                <w:p>
                  <w:r>
                    <w:rPr>
                      <w:rFonts w:hint="eastAsia"/>
                    </w:rPr>
                    <w:t>火灾</w:t>
                  </w:r>
                </w:p>
              </w:tc>
              <w:tc>
                <w:tcPr>
                  <w:tcW w:w="827" w:type="dxa"/>
                  <w:vAlign w:val="center"/>
                </w:tcPr>
                <w:p>
                  <w:r>
                    <w:rPr>
                      <w:rFonts w:hint="eastAsia"/>
                    </w:rPr>
                    <w:t>严格控制</w:t>
                  </w:r>
                </w:p>
                <w:p>
                  <w:r>
                    <w:rPr>
                      <w:rFonts w:hint="eastAsia"/>
                    </w:rPr>
                    <w:t>防止火灾</w:t>
                  </w:r>
                </w:p>
              </w:tc>
              <w:tc>
                <w:tcPr>
                  <w:tcW w:w="1012" w:type="dxa"/>
                  <w:vAlign w:val="center"/>
                </w:tcPr>
                <w:p>
                  <w:r>
                    <w:rPr>
                      <w:rFonts w:hint="eastAsia"/>
                    </w:rPr>
                    <w:t>火灾事故为零</w:t>
                  </w:r>
                </w:p>
              </w:tc>
              <w:tc>
                <w:tcPr>
                  <w:tcW w:w="4700" w:type="dxa"/>
                  <w:tcBorders>
                    <w:top w:val="single" w:color="auto" w:sz="4" w:space="0"/>
                    <w:bottom w:val="single" w:color="auto" w:sz="4" w:space="0"/>
                  </w:tcBorders>
                  <w:vAlign w:val="center"/>
                </w:tcPr>
                <w:p>
                  <w:r>
                    <w:rPr>
                      <w:rFonts w:hint="eastAsia"/>
                    </w:rPr>
                    <w:t>制订《应急和响应控制程序》；</w:t>
                  </w:r>
                </w:p>
                <w:p>
                  <w:r>
                    <w:rPr>
                      <w:rFonts w:hint="eastAsia"/>
                    </w:rPr>
                    <w:t>制订《火灾应急预案》；</w:t>
                  </w:r>
                </w:p>
                <w:p>
                  <w:r>
                    <w:rPr>
                      <w:rFonts w:hint="eastAsia"/>
                    </w:rPr>
                    <w:t>加强日常监督检查；</w:t>
                  </w:r>
                </w:p>
                <w:p>
                  <w:r>
                    <w:rPr>
                      <w:rFonts w:hint="eastAsia"/>
                    </w:rPr>
                    <w:t>在主要控制点配备消防设施</w:t>
                  </w:r>
                </w:p>
              </w:tc>
              <w:tc>
                <w:tcPr>
                  <w:tcW w:w="845" w:type="dxa"/>
                  <w:tcBorders>
                    <w:top w:val="single" w:color="auto" w:sz="4" w:space="0"/>
                    <w:bottom w:val="single" w:color="auto" w:sz="4" w:space="0"/>
                  </w:tcBorders>
                  <w:vAlign w:val="center"/>
                </w:tcPr>
                <w:p>
                  <w:r>
                    <w:rPr>
                      <w:rFonts w:hint="eastAsia"/>
                    </w:rPr>
                    <w:t>各部门</w:t>
                  </w:r>
                </w:p>
              </w:tc>
              <w:tc>
                <w:tcPr>
                  <w:tcW w:w="936" w:type="dxa"/>
                  <w:tcBorders>
                    <w:top w:val="single" w:color="auto" w:sz="4" w:space="0"/>
                    <w:bottom w:val="single" w:color="auto" w:sz="4" w:space="0"/>
                  </w:tcBorders>
                  <w:vAlign w:val="center"/>
                </w:tcPr>
                <w:p>
                  <w:r>
                    <w:rPr>
                      <w:rFonts w:hint="eastAsia"/>
                    </w:rPr>
                    <w:t>行政人事部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409" w:type="dxa"/>
                  <w:vAlign w:val="center"/>
                </w:tcPr>
                <w:p>
                  <w:r>
                    <w:rPr>
                      <w:rFonts w:hint="eastAsia"/>
                    </w:rPr>
                    <w:t>3</w:t>
                  </w:r>
                </w:p>
              </w:tc>
              <w:tc>
                <w:tcPr>
                  <w:tcW w:w="910" w:type="dxa"/>
                  <w:vAlign w:val="center"/>
                </w:tcPr>
                <w:p>
                  <w:r>
                    <w:rPr>
                      <w:rFonts w:hint="eastAsia"/>
                    </w:rPr>
                    <w:t>固体废弃物的排放</w:t>
                  </w:r>
                </w:p>
              </w:tc>
              <w:tc>
                <w:tcPr>
                  <w:tcW w:w="827" w:type="dxa"/>
                  <w:vAlign w:val="center"/>
                </w:tcPr>
                <w:p>
                  <w:r>
                    <w:rPr>
                      <w:rFonts w:hint="eastAsia"/>
                    </w:rPr>
                    <w:t>固体废物分类归集，统一处理</w:t>
                  </w:r>
                </w:p>
              </w:tc>
              <w:tc>
                <w:tcPr>
                  <w:tcW w:w="1012" w:type="dxa"/>
                  <w:vAlign w:val="center"/>
                </w:tcPr>
                <w:p>
                  <w:r>
                    <w:rPr>
                      <w:rFonts w:hint="eastAsia"/>
                    </w:rPr>
                    <w:t>达标率100%</w:t>
                  </w:r>
                </w:p>
              </w:tc>
              <w:tc>
                <w:tcPr>
                  <w:tcW w:w="4700" w:type="dxa"/>
                  <w:tcBorders>
                    <w:top w:val="single" w:color="auto" w:sz="4" w:space="0"/>
                    <w:bottom w:val="single" w:color="auto" w:sz="4" w:space="0"/>
                  </w:tcBorders>
                  <w:vAlign w:val="center"/>
                </w:tcPr>
                <w:p>
                  <w:r>
                    <w:rPr>
                      <w:rFonts w:hint="eastAsia"/>
                    </w:rPr>
                    <w:t>1.坚持文明生产，建立管理制度，各部门明确负责人；</w:t>
                  </w:r>
                </w:p>
                <w:p>
                  <w:r>
                    <w:rPr>
                      <w:rFonts w:hint="eastAsia"/>
                    </w:rPr>
                    <w:t>2.购买垃圾箱，分别放置可回收、不可回收固体废弃物；</w:t>
                  </w:r>
                </w:p>
                <w:p>
                  <w:r>
                    <w:rPr>
                      <w:rFonts w:hint="eastAsia"/>
                    </w:rPr>
                    <w:t>3、固体废物交有资质的单位回收处置</w:t>
                  </w:r>
                </w:p>
              </w:tc>
              <w:tc>
                <w:tcPr>
                  <w:tcW w:w="845" w:type="dxa"/>
                  <w:tcBorders>
                    <w:top w:val="single" w:color="auto" w:sz="4" w:space="0"/>
                    <w:bottom w:val="single" w:color="auto" w:sz="4" w:space="0"/>
                  </w:tcBorders>
                  <w:vAlign w:val="center"/>
                </w:tcPr>
                <w:p>
                  <w:r>
                    <w:rPr>
                      <w:rFonts w:hint="eastAsia"/>
                    </w:rPr>
                    <w:t>各部门</w:t>
                  </w:r>
                </w:p>
              </w:tc>
              <w:tc>
                <w:tcPr>
                  <w:tcW w:w="936" w:type="dxa"/>
                  <w:tcBorders>
                    <w:top w:val="single" w:color="auto" w:sz="4" w:space="0"/>
                    <w:bottom w:val="single" w:color="auto" w:sz="4" w:space="0"/>
                  </w:tcBorders>
                  <w:vAlign w:val="center"/>
                </w:tcPr>
                <w:p>
                  <w:r>
                    <w:rPr>
                      <w:rFonts w:hint="eastAsia"/>
                    </w:rPr>
                    <w:t>行政人事部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4" w:hRule="atLeast"/>
                <w:jc w:val="center"/>
              </w:trPr>
              <w:tc>
                <w:tcPr>
                  <w:tcW w:w="409" w:type="dxa"/>
                  <w:vAlign w:val="center"/>
                </w:tcPr>
                <w:p>
                  <w:r>
                    <w:rPr>
                      <w:rFonts w:hint="eastAsia"/>
                    </w:rPr>
                    <w:t>4</w:t>
                  </w:r>
                </w:p>
              </w:tc>
              <w:tc>
                <w:tcPr>
                  <w:tcW w:w="910" w:type="dxa"/>
                  <w:vAlign w:val="center"/>
                </w:tcPr>
                <w:p>
                  <w:r>
                    <w:rPr>
                      <w:rFonts w:hint="eastAsia"/>
                    </w:rPr>
                    <w:t>噪声的排放</w:t>
                  </w:r>
                </w:p>
              </w:tc>
              <w:tc>
                <w:tcPr>
                  <w:tcW w:w="827" w:type="dxa"/>
                  <w:vAlign w:val="center"/>
                </w:tcPr>
                <w:p>
                  <w:r>
                    <w:rPr>
                      <w:rFonts w:hint="eastAsia"/>
                    </w:rPr>
                    <w:t>达标排放</w:t>
                  </w:r>
                </w:p>
              </w:tc>
              <w:tc>
                <w:tcPr>
                  <w:tcW w:w="1012" w:type="dxa"/>
                  <w:vAlign w:val="center"/>
                </w:tcPr>
                <w:p>
                  <w:r>
                    <w:rPr>
                      <w:rFonts w:hint="eastAsia"/>
                    </w:rPr>
                    <w:t>工业企业厂界噪声标（G</w:t>
                  </w:r>
                  <w:r>
                    <w:t>B12348-2008</w:t>
                  </w:r>
                  <w:r>
                    <w:rPr>
                      <w:rFonts w:hint="eastAsia"/>
                    </w:rPr>
                    <w:t>）</w:t>
                  </w:r>
                </w:p>
              </w:tc>
              <w:tc>
                <w:tcPr>
                  <w:tcW w:w="4700" w:type="dxa"/>
                  <w:tcBorders>
                    <w:top w:val="single" w:color="auto" w:sz="4" w:space="0"/>
                    <w:bottom w:val="single" w:color="auto" w:sz="4" w:space="0"/>
                  </w:tcBorders>
                  <w:vAlign w:val="center"/>
                </w:tcPr>
                <w:p>
                  <w:r>
                    <w:rPr>
                      <w:rFonts w:hint="eastAsia"/>
                    </w:rPr>
                    <w:t>1、合理安排生产工序,保持设备正常运转</w:t>
                  </w:r>
                </w:p>
                <w:p>
                  <w:r>
                    <w:rPr>
                      <w:rFonts w:hint="eastAsia"/>
                    </w:rPr>
                    <w:t>2、加强设备维护保养；</w:t>
                  </w:r>
                </w:p>
                <w:p>
                  <w:r>
                    <w:rPr>
                      <w:rFonts w:hint="eastAsia"/>
                    </w:rPr>
                    <w:t>3、必要的隔噪措施和生产区域封闭。</w:t>
                  </w:r>
                </w:p>
              </w:tc>
              <w:tc>
                <w:tcPr>
                  <w:tcW w:w="845" w:type="dxa"/>
                  <w:tcBorders>
                    <w:top w:val="single" w:color="auto" w:sz="4" w:space="0"/>
                    <w:bottom w:val="single" w:color="auto" w:sz="4" w:space="0"/>
                  </w:tcBorders>
                  <w:vAlign w:val="center"/>
                </w:tcPr>
                <w:p>
                  <w:r>
                    <w:rPr>
                      <w:rFonts w:hint="eastAsia"/>
                    </w:rPr>
                    <w:t>生产部</w:t>
                  </w:r>
                </w:p>
              </w:tc>
              <w:tc>
                <w:tcPr>
                  <w:tcW w:w="936" w:type="dxa"/>
                  <w:tcBorders>
                    <w:top w:val="single" w:color="auto" w:sz="4" w:space="0"/>
                    <w:bottom w:val="single" w:color="auto" w:sz="4" w:space="0"/>
                  </w:tcBorders>
                  <w:vAlign w:val="center"/>
                </w:tcPr>
                <w:p>
                  <w:r>
                    <w:rPr>
                      <w:rFonts w:hint="eastAsia"/>
                    </w:rPr>
                    <w:t>行政人事部</w:t>
                  </w:r>
                </w:p>
              </w:tc>
            </w:tr>
          </w:tbl>
          <w:p>
            <w:pPr>
              <w:spacing w:line="360" w:lineRule="auto"/>
              <w:rPr>
                <w:rFonts w:eastAsiaTheme="minorEastAsia"/>
                <w:szCs w:val="21"/>
              </w:rPr>
            </w:pPr>
            <w:r>
              <w:rPr>
                <w:rFonts w:hAnsiTheme="minorEastAsia" w:eastAsiaTheme="minorEastAsia"/>
                <w:sz w:val="24"/>
                <w:szCs w:val="24"/>
              </w:rPr>
              <w:t>管理方案由责任部门组织实施，目前在实施中，部分已完成。</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eastAsiaTheme="minorEastAsia"/>
                <w:szCs w:val="21"/>
              </w:rPr>
            </w:pPr>
            <w:r>
              <w:rPr>
                <w:rFonts w:hAnsiTheme="minorEastAsia" w:eastAsiaTheme="minorEastAsia"/>
                <w:szCs w:val="21"/>
              </w:rPr>
              <w:t>环境因素辨识与评价</w:t>
            </w:r>
          </w:p>
        </w:tc>
        <w:tc>
          <w:tcPr>
            <w:tcW w:w="1311" w:type="dxa"/>
          </w:tcPr>
          <w:p>
            <w:pPr>
              <w:spacing w:line="360" w:lineRule="auto"/>
              <w:rPr>
                <w:rFonts w:eastAsiaTheme="minorEastAsia"/>
                <w:szCs w:val="21"/>
              </w:rPr>
            </w:pPr>
            <w:r>
              <w:rPr>
                <w:rFonts w:eastAsiaTheme="minorEastAsia"/>
                <w:szCs w:val="21"/>
              </w:rPr>
              <w:t>E</w:t>
            </w:r>
            <w:r>
              <w:rPr>
                <w:rFonts w:hAnsiTheme="minorEastAsia" w:eastAsiaTheme="minorEastAsia"/>
                <w:szCs w:val="21"/>
              </w:rPr>
              <w:t>：</w:t>
            </w:r>
            <w:r>
              <w:rPr>
                <w:rFonts w:eastAsiaTheme="minorEastAsia"/>
                <w:szCs w:val="21"/>
              </w:rPr>
              <w:t>6.1.2</w:t>
            </w:r>
          </w:p>
        </w:tc>
        <w:tc>
          <w:tcPr>
            <w:tcW w:w="10004" w:type="dxa"/>
          </w:tcPr>
          <w:p>
            <w:pPr>
              <w:snapToGrid w:val="0"/>
              <w:spacing w:line="360" w:lineRule="auto"/>
              <w:ind w:firstLine="480"/>
              <w:rPr>
                <w:rFonts w:eastAsiaTheme="minorEastAsia"/>
                <w:szCs w:val="21"/>
              </w:rPr>
            </w:pPr>
            <w:r>
              <w:rPr>
                <w:rFonts w:hAnsiTheme="minorEastAsia" w:eastAsiaTheme="minorEastAsia"/>
                <w:szCs w:val="21"/>
              </w:rPr>
              <w:t>查有：《环境因素识别、评价和更新控制程序》。</w:t>
            </w:r>
          </w:p>
          <w:p>
            <w:pPr>
              <w:spacing w:line="360" w:lineRule="auto"/>
              <w:ind w:firstLine="420" w:firstLineChars="200"/>
              <w:rPr>
                <w:rFonts w:eastAsiaTheme="minorEastAsia"/>
                <w:szCs w:val="21"/>
              </w:rPr>
            </w:pPr>
            <w:r>
              <w:rPr>
                <w:rFonts w:hint="eastAsia" w:hAnsiTheme="minorEastAsia" w:eastAsiaTheme="minorEastAsia"/>
                <w:szCs w:val="21"/>
              </w:rPr>
              <w:t>品保部作为环境和职业健康安全管理体系的推进部门，主要统筹负责识别评价相关的环境因素及危险源。根据办公区、生产过程、检验过程、采购过程、销售过程等环节识别，由品保部汇总。</w:t>
            </w:r>
            <w:r>
              <w:rPr>
                <w:rFonts w:hAnsiTheme="minorEastAsia" w:eastAsiaTheme="minorEastAsia"/>
                <w:szCs w:val="21"/>
              </w:rPr>
              <w:t>查品保部的</w:t>
            </w:r>
            <w:r>
              <w:rPr>
                <w:rFonts w:eastAsiaTheme="minorEastAsia"/>
                <w:szCs w:val="21"/>
              </w:rPr>
              <w:t>“</w:t>
            </w:r>
            <w:r>
              <w:rPr>
                <w:rFonts w:hAnsiTheme="minorEastAsia" w:eastAsiaTheme="minorEastAsia"/>
                <w:szCs w:val="21"/>
              </w:rPr>
              <w:t>环境因素识别评价汇总表</w:t>
            </w:r>
            <w:r>
              <w:rPr>
                <w:rFonts w:eastAsiaTheme="minorEastAsia"/>
                <w:szCs w:val="21"/>
              </w:rPr>
              <w:t>”</w:t>
            </w:r>
            <w:r>
              <w:rPr>
                <w:rFonts w:hAnsiTheme="minorEastAsia" w:eastAsiaTheme="minorEastAsia"/>
                <w:szCs w:val="21"/>
              </w:rPr>
              <w:t>，识别了本部门在办公、检验过程等各有关过程的环境因素，包括产品检验过程、设备使用过程、电脑使用用电消耗、办公纸张消耗生活垃圾的处置不当污染环境、办公场所吸烟污染环境、复印机打印机废墨盒处置污染环境、火灾发生后废弃物污染大气、水土等等环境因素、识别考虑了正常、异常、紧急，过去、现在、未来三种时态。识别时能考虑产品生命周期观点。</w:t>
            </w:r>
          </w:p>
          <w:p>
            <w:pPr>
              <w:spacing w:line="360" w:lineRule="auto"/>
              <w:ind w:firstLine="420" w:firstLineChars="200"/>
              <w:rPr>
                <w:rFonts w:eastAsiaTheme="minorEastAsia"/>
                <w:szCs w:val="21"/>
              </w:rPr>
            </w:pPr>
            <w:r>
              <w:rPr>
                <w:rFonts w:hAnsiTheme="minorEastAsia" w:eastAsiaTheme="minorEastAsia"/>
                <w:szCs w:val="21"/>
              </w:rPr>
              <w:t>查《重要环境因素清单》，有噪音排放、潜在火灾、能源消耗、固废排放等，涉及品保部有</w:t>
            </w:r>
            <w:r>
              <w:rPr>
                <w:rFonts w:eastAsiaTheme="minorEastAsia"/>
                <w:szCs w:val="21"/>
              </w:rPr>
              <w:t>2</w:t>
            </w:r>
            <w:r>
              <w:rPr>
                <w:rFonts w:hAnsiTheme="minorEastAsia" w:eastAsiaTheme="minorEastAsia"/>
                <w:szCs w:val="21"/>
              </w:rPr>
              <w:t>项重要环境因素，包括：火灾、固体废弃物的排放。</w:t>
            </w:r>
          </w:p>
          <w:p>
            <w:pPr>
              <w:spacing w:line="360" w:lineRule="auto"/>
              <w:ind w:firstLine="420" w:firstLineChars="200"/>
              <w:rPr>
                <w:rFonts w:eastAsiaTheme="minorEastAsia"/>
                <w:szCs w:val="21"/>
              </w:rPr>
            </w:pPr>
            <w:r>
              <w:rPr>
                <w:rFonts w:hAnsiTheme="minorEastAsia" w:eastAsiaTheme="minorEastAsia"/>
                <w:szCs w:val="21"/>
              </w:rPr>
              <w:t>控制措施：办公危废交耗由行政人事部统一管理，交供应公司处理，固废分类存放、垃圾等由行政人事部负责按规定处置，包装物分类收集按规定处置，日常检查、培训教育，配备有消防器材、制定应急预案等措施。</w:t>
            </w:r>
          </w:p>
          <w:p>
            <w:pPr>
              <w:spacing w:line="360" w:lineRule="auto"/>
              <w:ind w:firstLine="420" w:firstLineChars="200"/>
              <w:rPr>
                <w:rFonts w:hAnsiTheme="minorEastAsia" w:eastAsiaTheme="minorEastAsia"/>
                <w:szCs w:val="21"/>
              </w:rPr>
            </w:pPr>
            <w:r>
              <w:rPr>
                <w:rFonts w:hAnsiTheme="minorEastAsia" w:eastAsiaTheme="minorEastAsia"/>
                <w:szCs w:val="21"/>
              </w:rPr>
              <w:t>部门识别和评价基本充分，符合规定要求。</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809" w:type="dxa"/>
          </w:tcPr>
          <w:p>
            <w:pPr>
              <w:spacing w:line="360" w:lineRule="auto"/>
              <w:rPr>
                <w:rFonts w:eastAsiaTheme="minorEastAsia"/>
                <w:sz w:val="24"/>
                <w:szCs w:val="24"/>
              </w:rPr>
            </w:pPr>
            <w:r>
              <w:rPr>
                <w:rFonts w:hAnsiTheme="minorEastAsia" w:eastAsiaTheme="minorEastAsia"/>
                <w:sz w:val="24"/>
                <w:szCs w:val="24"/>
              </w:rPr>
              <w:t>合规义务、法律法规和其他要求</w:t>
            </w:r>
          </w:p>
        </w:tc>
        <w:tc>
          <w:tcPr>
            <w:tcW w:w="1311" w:type="dxa"/>
            <w:vAlign w:val="center"/>
          </w:tcPr>
          <w:p>
            <w:pPr>
              <w:spacing w:line="360" w:lineRule="auto"/>
              <w:rPr>
                <w:rFonts w:eastAsiaTheme="minorEastAsia"/>
                <w:sz w:val="24"/>
                <w:szCs w:val="24"/>
              </w:rPr>
            </w:pPr>
            <w:r>
              <w:rPr>
                <w:rFonts w:eastAsiaTheme="minorEastAsia"/>
                <w:sz w:val="24"/>
                <w:szCs w:val="24"/>
              </w:rPr>
              <w:t>E6.1.3</w:t>
            </w:r>
          </w:p>
        </w:tc>
        <w:tc>
          <w:tcPr>
            <w:tcW w:w="10004" w:type="dxa"/>
            <w:vAlign w:val="center"/>
          </w:tcPr>
          <w:p>
            <w:pPr>
              <w:snapToGrid w:val="0"/>
              <w:spacing w:line="360" w:lineRule="auto"/>
              <w:ind w:firstLine="480" w:firstLineChars="200"/>
              <w:rPr>
                <w:rFonts w:eastAsiaTheme="minorEastAsia"/>
                <w:sz w:val="24"/>
                <w:szCs w:val="24"/>
              </w:rPr>
            </w:pPr>
            <w:r>
              <w:rPr>
                <w:rFonts w:hAnsiTheme="minorEastAsia" w:eastAsiaTheme="minorEastAsia"/>
                <w:sz w:val="24"/>
                <w:szCs w:val="24"/>
              </w:rPr>
              <w:t>编制了《</w:t>
            </w:r>
            <w:r>
              <w:rPr>
                <w:rFonts w:hint="eastAsia" w:hAnsiTheme="minorEastAsia" w:eastAsiaTheme="minorEastAsia"/>
                <w:sz w:val="24"/>
                <w:szCs w:val="24"/>
              </w:rPr>
              <w:t>适用法律法规和其它要求控制程序</w:t>
            </w:r>
            <w:r>
              <w:rPr>
                <w:rFonts w:hAnsiTheme="minorEastAsia" w:eastAsiaTheme="minorEastAsia"/>
                <w:sz w:val="24"/>
                <w:szCs w:val="24"/>
              </w:rPr>
              <w:t>》，对法律法规的识别更新和应用进行规定，品管部为主控部门。</w:t>
            </w:r>
          </w:p>
          <w:p>
            <w:pPr>
              <w:snapToGrid w:val="0"/>
              <w:spacing w:line="360" w:lineRule="auto"/>
              <w:ind w:firstLine="480" w:firstLineChars="200"/>
              <w:rPr>
                <w:rFonts w:eastAsiaTheme="minorEastAsia"/>
                <w:sz w:val="24"/>
                <w:szCs w:val="24"/>
              </w:rPr>
            </w:pPr>
            <w:r>
              <w:rPr>
                <w:rFonts w:hAnsiTheme="minorEastAsia" w:eastAsiaTheme="minorEastAsia"/>
                <w:sz w:val="24"/>
                <w:szCs w:val="24"/>
              </w:rPr>
              <w:t>部门人员介绍：主要通过网络、报纸杂志电视等新闻媒体、购买、上级下发等多种形式收集本公司适用的法律法规。提供了《环境法律法规及其他要求清单》，识别了企业相关环境和职业健康安全法律法规、标准和其他要求。如《中华人民共和国环境保护法》、《中华人民共和国安全生产法》、《中华人民共和国环境噪声污染防治法》、《中华人民共和国职业病防治法》、《中华人民共和国消防法》、《</w:t>
            </w:r>
            <w:r>
              <w:rPr>
                <w:rFonts w:hint="eastAsia" w:hAnsiTheme="minorEastAsia" w:eastAsiaTheme="minorEastAsia"/>
                <w:sz w:val="24"/>
                <w:szCs w:val="24"/>
              </w:rPr>
              <w:t>城镇排水与污水处理条例</w:t>
            </w:r>
            <w:r>
              <w:rPr>
                <w:rFonts w:hAnsiTheme="minorEastAsia" w:eastAsiaTheme="minorEastAsia"/>
                <w:sz w:val="24"/>
                <w:szCs w:val="24"/>
              </w:rPr>
              <w:t>》、《</w:t>
            </w:r>
            <w:r>
              <w:rPr>
                <w:rFonts w:hint="eastAsia" w:hAnsiTheme="minorEastAsia" w:eastAsiaTheme="minorEastAsia"/>
                <w:sz w:val="24"/>
                <w:szCs w:val="24"/>
              </w:rPr>
              <w:t>中华人民共和国节约能源法</w:t>
            </w:r>
            <w:r>
              <w:rPr>
                <w:rFonts w:hAnsiTheme="minorEastAsia" w:eastAsiaTheme="minorEastAsia"/>
                <w:sz w:val="24"/>
                <w:szCs w:val="24"/>
              </w:rPr>
              <w:t>》、《</w:t>
            </w:r>
            <w:r>
              <w:rPr>
                <w:rFonts w:hint="eastAsia" w:hAnsiTheme="minorEastAsia" w:eastAsiaTheme="minorEastAsia"/>
                <w:sz w:val="24"/>
                <w:szCs w:val="24"/>
              </w:rPr>
              <w:t>中华人民共和国水土保持法</w:t>
            </w:r>
            <w:r>
              <w:rPr>
                <w:rFonts w:hAnsiTheme="minorEastAsia" w:eastAsiaTheme="minorEastAsia"/>
                <w:sz w:val="24"/>
                <w:szCs w:val="24"/>
              </w:rPr>
              <w:t>》《</w:t>
            </w:r>
            <w:r>
              <w:rPr>
                <w:rFonts w:hint="eastAsia" w:hAnsiTheme="minorEastAsia" w:eastAsiaTheme="minorEastAsia"/>
                <w:sz w:val="24"/>
                <w:szCs w:val="24"/>
              </w:rPr>
              <w:t>城市节约用水管理规定</w:t>
            </w:r>
            <w:r>
              <w:rPr>
                <w:rFonts w:hAnsiTheme="minorEastAsia" w:eastAsiaTheme="minorEastAsia"/>
                <w:sz w:val="24"/>
                <w:szCs w:val="24"/>
              </w:rPr>
              <w:t>》等，共</w:t>
            </w:r>
            <w:r>
              <w:rPr>
                <w:rFonts w:hint="eastAsia" w:hAnsiTheme="minorEastAsia" w:eastAsiaTheme="minorEastAsia"/>
                <w:sz w:val="24"/>
                <w:szCs w:val="24"/>
              </w:rPr>
              <w:t>65份</w:t>
            </w:r>
            <w:r>
              <w:rPr>
                <w:rFonts w:hAnsiTheme="minorEastAsia" w:eastAsiaTheme="minorEastAsia"/>
                <w:sz w:val="24"/>
                <w:szCs w:val="24"/>
              </w:rPr>
              <w:t>。</w:t>
            </w:r>
          </w:p>
          <w:p>
            <w:pPr>
              <w:snapToGrid w:val="0"/>
              <w:spacing w:line="360" w:lineRule="auto"/>
              <w:ind w:firstLine="480" w:firstLineChars="200"/>
              <w:rPr>
                <w:rFonts w:eastAsiaTheme="minorEastAsia"/>
                <w:sz w:val="24"/>
                <w:szCs w:val="24"/>
              </w:rPr>
            </w:pPr>
            <w:r>
              <w:rPr>
                <w:rFonts w:hAnsiTheme="minorEastAsia" w:eastAsiaTheme="minorEastAsia"/>
                <w:sz w:val="24"/>
                <w:szCs w:val="24"/>
              </w:rPr>
              <w:t>已识别法律法规及其它要求的适用条款，并与环境因素相对应。</w:t>
            </w:r>
          </w:p>
          <w:p>
            <w:pPr>
              <w:snapToGrid w:val="0"/>
              <w:spacing w:line="360" w:lineRule="auto"/>
              <w:ind w:firstLine="480" w:firstLineChars="200"/>
              <w:rPr>
                <w:rFonts w:eastAsiaTheme="minorEastAsia"/>
                <w:sz w:val="24"/>
                <w:szCs w:val="24"/>
                <w:highlight w:val="yellow"/>
              </w:rPr>
            </w:pPr>
            <w:r>
              <w:rPr>
                <w:rFonts w:hAnsiTheme="minorEastAsia" w:eastAsiaTheme="minorEastAsia"/>
                <w:sz w:val="24"/>
                <w:szCs w:val="24"/>
              </w:rPr>
              <w:t>公司法律、法规及其它要求都有现行文本，大部分为电子版本。各部门如有需要到品保部查阅。公司通过培训、会议等方式向有关员工传达法律、法规及其它要求的相关要求。</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809" w:type="dxa"/>
            <w:vAlign w:val="center"/>
          </w:tcPr>
          <w:p>
            <w:pPr>
              <w:spacing w:line="360" w:lineRule="auto"/>
              <w:rPr>
                <w:rFonts w:eastAsiaTheme="minorEastAsia"/>
                <w:sz w:val="24"/>
                <w:szCs w:val="24"/>
              </w:rPr>
            </w:pPr>
            <w:r>
              <w:rPr>
                <w:rFonts w:hAnsiTheme="minorEastAsia" w:eastAsiaTheme="minorEastAsia"/>
                <w:sz w:val="24"/>
                <w:szCs w:val="24"/>
              </w:rPr>
              <w:t>措施的策划</w:t>
            </w:r>
          </w:p>
        </w:tc>
        <w:tc>
          <w:tcPr>
            <w:tcW w:w="1311" w:type="dxa"/>
            <w:vAlign w:val="center"/>
          </w:tcPr>
          <w:p>
            <w:pPr>
              <w:spacing w:line="360" w:lineRule="auto"/>
              <w:rPr>
                <w:rFonts w:eastAsiaTheme="minorEastAsia"/>
                <w:sz w:val="24"/>
                <w:szCs w:val="24"/>
              </w:rPr>
            </w:pPr>
            <w:r>
              <w:rPr>
                <w:rFonts w:eastAsiaTheme="minorEastAsia"/>
                <w:sz w:val="24"/>
                <w:szCs w:val="24"/>
              </w:rPr>
              <w:t>E6.1.4</w:t>
            </w:r>
          </w:p>
        </w:tc>
        <w:tc>
          <w:tcPr>
            <w:tcW w:w="10004" w:type="dxa"/>
            <w:vAlign w:val="center"/>
          </w:tcPr>
          <w:p>
            <w:pPr>
              <w:spacing w:line="360" w:lineRule="auto"/>
              <w:ind w:firstLine="480" w:firstLineChars="200"/>
              <w:rPr>
                <w:rFonts w:eastAsiaTheme="minorEastAsia"/>
                <w:sz w:val="24"/>
                <w:szCs w:val="24"/>
              </w:rPr>
            </w:pPr>
            <w:r>
              <w:rPr>
                <w:rFonts w:hAnsiTheme="minorEastAsia" w:eastAsiaTheme="minorEastAsia"/>
                <w:sz w:val="24"/>
                <w:szCs w:val="24"/>
              </w:rPr>
              <w:t>公司根据环境因素的辨识结果，分别制定出《重要环境因素清单》，清单内明确了控制措施计划，通过具体的措施进行有效控制：目标、管理方案、管理制度运行控制、应急预案、日常检查、日常培训。</w:t>
            </w:r>
          </w:p>
          <w:p>
            <w:pPr>
              <w:spacing w:line="360" w:lineRule="auto"/>
              <w:ind w:firstLine="480" w:firstLineChars="200"/>
              <w:rPr>
                <w:rFonts w:eastAsiaTheme="minorEastAsia"/>
                <w:sz w:val="24"/>
                <w:szCs w:val="24"/>
              </w:rPr>
            </w:pPr>
            <w:r>
              <w:rPr>
                <w:rFonts w:hAnsiTheme="minorEastAsia" w:eastAsiaTheme="minorEastAsia"/>
                <w:sz w:val="24"/>
                <w:szCs w:val="24"/>
              </w:rPr>
              <w:t>每年对公司适用的合规义务进行识别更新并定期评价、检查。</w:t>
            </w:r>
          </w:p>
          <w:p>
            <w:pPr>
              <w:spacing w:line="360" w:lineRule="auto"/>
              <w:ind w:firstLine="480" w:firstLineChars="200"/>
              <w:rPr>
                <w:rFonts w:eastAsiaTheme="minorEastAsia"/>
                <w:sz w:val="24"/>
                <w:szCs w:val="24"/>
              </w:rPr>
            </w:pPr>
            <w:r>
              <w:rPr>
                <w:rFonts w:hAnsiTheme="minorEastAsia" w:eastAsiaTheme="minorEastAsia"/>
                <w:sz w:val="24"/>
                <w:szCs w:val="24"/>
              </w:rPr>
              <w:t>经组织评价，组织策划的措施基本能够满足风险和机遇应对需要，能够与识别的风险和机遇对产品符合性的潜在影响相适应，基本满足标准要求。</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809" w:type="dxa"/>
            <w:vAlign w:val="center"/>
          </w:tcPr>
          <w:p>
            <w:pPr>
              <w:spacing w:line="360" w:lineRule="auto"/>
              <w:rPr>
                <w:rFonts w:eastAsiaTheme="minorEastAsia"/>
                <w:sz w:val="24"/>
                <w:szCs w:val="24"/>
              </w:rPr>
            </w:pPr>
            <w:r>
              <w:rPr>
                <w:rFonts w:hAnsiTheme="minorEastAsia" w:eastAsiaTheme="minorEastAsia"/>
                <w:sz w:val="24"/>
                <w:szCs w:val="24"/>
              </w:rPr>
              <w:t>合规性评价</w:t>
            </w:r>
          </w:p>
        </w:tc>
        <w:tc>
          <w:tcPr>
            <w:tcW w:w="1311" w:type="dxa"/>
            <w:vAlign w:val="center"/>
          </w:tcPr>
          <w:p>
            <w:pPr>
              <w:spacing w:line="360" w:lineRule="auto"/>
              <w:rPr>
                <w:rFonts w:eastAsiaTheme="minorEastAsia"/>
                <w:sz w:val="24"/>
                <w:szCs w:val="24"/>
              </w:rPr>
            </w:pPr>
            <w:r>
              <w:rPr>
                <w:rFonts w:eastAsiaTheme="minorEastAsia"/>
                <w:sz w:val="24"/>
                <w:szCs w:val="24"/>
              </w:rPr>
              <w:t>E9.1.2</w:t>
            </w:r>
          </w:p>
        </w:tc>
        <w:tc>
          <w:tcPr>
            <w:tcW w:w="10004" w:type="dxa"/>
            <w:vAlign w:val="center"/>
          </w:tcPr>
          <w:p>
            <w:pPr>
              <w:snapToGrid w:val="0"/>
              <w:spacing w:line="360" w:lineRule="auto"/>
              <w:ind w:right="392" w:firstLine="480" w:firstLineChars="200"/>
              <w:rPr>
                <w:rFonts w:eastAsiaTheme="minorEastAsia"/>
                <w:sz w:val="24"/>
                <w:szCs w:val="24"/>
              </w:rPr>
            </w:pPr>
            <w:r>
              <w:rPr>
                <w:rFonts w:hAnsiTheme="minorEastAsia" w:eastAsiaTheme="minorEastAsia"/>
                <w:sz w:val="24"/>
                <w:szCs w:val="24"/>
              </w:rPr>
              <w:t>编制了《合规性评价控制程序》，其中规定了对本公司法规及其他要求的合规性评价的要求。</w:t>
            </w:r>
          </w:p>
          <w:p>
            <w:pPr>
              <w:snapToGrid w:val="0"/>
              <w:spacing w:line="360" w:lineRule="auto"/>
              <w:ind w:right="392" w:firstLine="480" w:firstLineChars="200"/>
              <w:rPr>
                <w:rFonts w:eastAsiaTheme="minorEastAsia"/>
                <w:sz w:val="24"/>
                <w:szCs w:val="24"/>
              </w:rPr>
            </w:pPr>
            <w:r>
              <w:rPr>
                <w:rFonts w:hAnsiTheme="minorEastAsia" w:eastAsiaTheme="minorEastAsia"/>
                <w:sz w:val="24"/>
                <w:szCs w:val="24"/>
              </w:rPr>
              <w:t>提供了《合规性评价报告》、《合规性评价综述》</w:t>
            </w:r>
            <w:r>
              <w:rPr>
                <w:rFonts w:eastAsiaTheme="minorEastAsia"/>
                <w:sz w:val="24"/>
                <w:szCs w:val="24"/>
              </w:rPr>
              <w:t>,</w:t>
            </w:r>
            <w:r>
              <w:rPr>
                <w:rFonts w:hAnsiTheme="minorEastAsia" w:eastAsiaTheme="minorEastAsia"/>
                <w:sz w:val="24"/>
                <w:szCs w:val="24"/>
              </w:rPr>
              <w:t>对公司适用的法律法规及其他要求的遵守情况进行了评价，评价结论：从本次检查的结果来看，我公司没有违反国家法律、法规及相关标准，能严格遵守国家有关环境和职业健康安全管理方面的相关规定，密切关注法律法规的变化，并适时调整，严格按体系标准执行。</w:t>
            </w:r>
          </w:p>
          <w:p>
            <w:pPr>
              <w:snapToGrid w:val="0"/>
              <w:spacing w:line="360" w:lineRule="auto"/>
              <w:ind w:right="392" w:firstLine="480" w:firstLineChars="200"/>
              <w:rPr>
                <w:rFonts w:eastAsiaTheme="minorEastAsia"/>
                <w:sz w:val="24"/>
                <w:szCs w:val="24"/>
                <w:highlight w:val="yellow"/>
              </w:rPr>
            </w:pPr>
            <w:r>
              <w:rPr>
                <w:rFonts w:hAnsiTheme="minorEastAsia" w:eastAsiaTheme="minorEastAsia"/>
                <w:sz w:val="24"/>
                <w:szCs w:val="24"/>
              </w:rPr>
              <w:t>评价人：</w:t>
            </w:r>
            <w:r>
              <w:rPr>
                <w:rFonts w:hint="eastAsia" w:hAnsiTheme="minorEastAsia" w:eastAsiaTheme="minorEastAsia"/>
                <w:sz w:val="24"/>
                <w:szCs w:val="24"/>
              </w:rPr>
              <w:t>刘定生、詹发松、</w:t>
            </w:r>
            <w:r>
              <w:rPr>
                <w:rFonts w:hint="eastAsia" w:ascii="宋体" w:hAnsi="宋体"/>
                <w:sz w:val="24"/>
                <w:szCs w:val="28"/>
              </w:rPr>
              <w:t>黄志华</w:t>
            </w:r>
            <w:r>
              <w:rPr>
                <w:rFonts w:hint="eastAsia" w:ascii="宋体" w:hAnsi="宋体"/>
                <w:sz w:val="24"/>
                <w:szCs w:val="28"/>
                <w:lang w:eastAsia="zh-CN"/>
              </w:rPr>
              <w:t>、</w:t>
            </w:r>
            <w:r>
              <w:rPr>
                <w:rFonts w:hint="eastAsia" w:ascii="宋体" w:hAnsi="宋体"/>
                <w:sz w:val="24"/>
                <w:szCs w:val="28"/>
                <w:lang w:val="en-US" w:eastAsia="zh-CN"/>
              </w:rPr>
              <w:t>王建、陈加旺、关永锋、赵春荣</w:t>
            </w:r>
            <w:r>
              <w:rPr>
                <w:rFonts w:hint="eastAsia" w:hAnsiTheme="minorEastAsia" w:eastAsiaTheme="minorEastAsia"/>
                <w:sz w:val="24"/>
                <w:szCs w:val="24"/>
              </w:rPr>
              <w:t>等</w:t>
            </w:r>
          </w:p>
          <w:p>
            <w:pPr>
              <w:snapToGrid w:val="0"/>
              <w:spacing w:line="360" w:lineRule="auto"/>
              <w:ind w:right="392" w:firstLine="480" w:firstLineChars="200"/>
              <w:rPr>
                <w:rFonts w:hAnsiTheme="minorEastAsia" w:eastAsiaTheme="minorEastAsia"/>
                <w:sz w:val="24"/>
                <w:szCs w:val="24"/>
              </w:rPr>
            </w:pPr>
            <w:r>
              <w:rPr>
                <w:rFonts w:hAnsiTheme="minorEastAsia" w:eastAsiaTheme="minorEastAsia"/>
                <w:sz w:val="24"/>
                <w:szCs w:val="24"/>
              </w:rPr>
              <w:t>评价日期：20</w:t>
            </w:r>
            <w:r>
              <w:rPr>
                <w:rFonts w:hint="eastAsia" w:hAnsiTheme="minorEastAsia" w:eastAsiaTheme="minorEastAsia"/>
                <w:sz w:val="24"/>
                <w:szCs w:val="24"/>
              </w:rPr>
              <w:t>2</w:t>
            </w:r>
            <w:r>
              <w:rPr>
                <w:rFonts w:hint="eastAsia" w:hAnsiTheme="minorEastAsia" w:eastAsiaTheme="minorEastAsia"/>
                <w:sz w:val="24"/>
                <w:szCs w:val="24"/>
                <w:lang w:val="en-US" w:eastAsia="zh-CN"/>
              </w:rPr>
              <w:t>1</w:t>
            </w:r>
            <w:r>
              <w:rPr>
                <w:rFonts w:hAnsiTheme="minorEastAsia" w:eastAsiaTheme="minorEastAsia"/>
                <w:sz w:val="24"/>
                <w:szCs w:val="24"/>
              </w:rPr>
              <w:t>年</w:t>
            </w:r>
            <w:r>
              <w:rPr>
                <w:rFonts w:hint="eastAsia" w:hAnsiTheme="minorEastAsia" w:eastAsiaTheme="minorEastAsia"/>
                <w:sz w:val="24"/>
                <w:szCs w:val="24"/>
                <w:lang w:val="en-US" w:eastAsia="zh-CN"/>
              </w:rPr>
              <w:t>6</w:t>
            </w:r>
            <w:r>
              <w:rPr>
                <w:rFonts w:hAnsiTheme="minorEastAsia" w:eastAsiaTheme="minorEastAsia"/>
                <w:sz w:val="24"/>
                <w:szCs w:val="24"/>
              </w:rPr>
              <w:t>月</w:t>
            </w:r>
            <w:r>
              <w:rPr>
                <w:rFonts w:hint="eastAsia" w:hAnsiTheme="minorEastAsia" w:eastAsiaTheme="minorEastAsia"/>
                <w:sz w:val="24"/>
                <w:szCs w:val="24"/>
                <w:lang w:val="en-US" w:eastAsia="zh-CN"/>
              </w:rPr>
              <w:t>17</w:t>
            </w:r>
            <w:r>
              <w:rPr>
                <w:rFonts w:hAnsiTheme="minorEastAsia" w:eastAsiaTheme="minorEastAsia"/>
                <w:sz w:val="24"/>
                <w:szCs w:val="24"/>
              </w:rPr>
              <w:t>日。</w:t>
            </w:r>
          </w:p>
          <w:p>
            <w:pPr>
              <w:spacing w:line="360" w:lineRule="auto"/>
              <w:ind w:firstLine="480" w:firstLineChars="200"/>
              <w:rPr>
                <w:rFonts w:eastAsiaTheme="minorEastAsia"/>
                <w:sz w:val="24"/>
                <w:szCs w:val="24"/>
              </w:rPr>
            </w:pPr>
            <w:r>
              <w:rPr>
                <w:rFonts w:hAnsiTheme="minorEastAsia" w:eastAsiaTheme="minorEastAsia"/>
                <w:sz w:val="24"/>
                <w:szCs w:val="24"/>
              </w:rPr>
              <w:t>部门已对有关法规及其他要求进行识别、评价，满足要求。</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809" w:type="dxa"/>
            <w:vAlign w:val="center"/>
          </w:tcPr>
          <w:p>
            <w:pPr>
              <w:spacing w:line="360" w:lineRule="auto"/>
              <w:rPr>
                <w:rFonts w:eastAsiaTheme="minorEastAsia"/>
                <w:sz w:val="24"/>
                <w:szCs w:val="24"/>
              </w:rPr>
            </w:pPr>
            <w:r>
              <w:rPr>
                <w:rFonts w:hAnsiTheme="minorEastAsia" w:eastAsiaTheme="minorEastAsia"/>
                <w:sz w:val="24"/>
                <w:szCs w:val="24"/>
              </w:rPr>
              <w:t>监视、测量、分析和评价</w:t>
            </w:r>
          </w:p>
        </w:tc>
        <w:tc>
          <w:tcPr>
            <w:tcW w:w="1311" w:type="dxa"/>
            <w:vAlign w:val="center"/>
          </w:tcPr>
          <w:p>
            <w:pPr>
              <w:tabs>
                <w:tab w:val="left" w:pos="6597"/>
              </w:tabs>
              <w:spacing w:line="360" w:lineRule="auto"/>
              <w:rPr>
                <w:rFonts w:eastAsiaTheme="minorEastAsia"/>
                <w:sz w:val="24"/>
                <w:szCs w:val="24"/>
              </w:rPr>
            </w:pPr>
            <w:r>
              <w:rPr>
                <w:rFonts w:eastAsiaTheme="minorEastAsia"/>
                <w:sz w:val="24"/>
                <w:szCs w:val="24"/>
              </w:rPr>
              <w:t>E9.1.1</w:t>
            </w:r>
          </w:p>
        </w:tc>
        <w:tc>
          <w:tcPr>
            <w:tcW w:w="10004" w:type="dxa"/>
            <w:vAlign w:val="center"/>
          </w:tcPr>
          <w:p>
            <w:pPr>
              <w:spacing w:line="360" w:lineRule="auto"/>
              <w:ind w:firstLine="480" w:firstLineChars="200"/>
              <w:jc w:val="left"/>
              <w:rPr>
                <w:rFonts w:eastAsiaTheme="minorEastAsia"/>
                <w:sz w:val="24"/>
                <w:szCs w:val="24"/>
              </w:rPr>
            </w:pPr>
            <w:r>
              <w:rPr>
                <w:rFonts w:hAnsiTheme="minorEastAsia" w:eastAsiaTheme="minorEastAsia"/>
                <w:sz w:val="24"/>
                <w:szCs w:val="24"/>
              </w:rPr>
              <w:t>查到</w:t>
            </w:r>
            <w:r>
              <w:rPr>
                <w:rFonts w:eastAsiaTheme="minorEastAsia"/>
                <w:sz w:val="24"/>
                <w:szCs w:val="24"/>
              </w:rPr>
              <w:t>20</w:t>
            </w:r>
            <w:r>
              <w:rPr>
                <w:rFonts w:hint="eastAsia" w:eastAsiaTheme="minorEastAsia"/>
                <w:sz w:val="24"/>
                <w:szCs w:val="24"/>
              </w:rPr>
              <w:t>2</w:t>
            </w:r>
            <w:r>
              <w:rPr>
                <w:rFonts w:hint="eastAsia" w:eastAsiaTheme="minorEastAsia"/>
                <w:sz w:val="24"/>
                <w:szCs w:val="24"/>
                <w:lang w:val="en-US" w:eastAsia="zh-CN"/>
              </w:rPr>
              <w:t>1</w:t>
            </w:r>
            <w:r>
              <w:rPr>
                <w:rFonts w:hAnsiTheme="minorEastAsia" w:eastAsiaTheme="minorEastAsia"/>
                <w:sz w:val="24"/>
                <w:szCs w:val="24"/>
              </w:rPr>
              <w:t>年</w:t>
            </w:r>
            <w:r>
              <w:rPr>
                <w:rFonts w:hint="eastAsia" w:eastAsiaTheme="minorEastAsia"/>
                <w:sz w:val="24"/>
                <w:szCs w:val="24"/>
                <w:lang w:val="en-US" w:eastAsia="zh-CN"/>
              </w:rPr>
              <w:t>5</w:t>
            </w:r>
            <w:r>
              <w:rPr>
                <w:rFonts w:hAnsiTheme="minorEastAsia" w:eastAsiaTheme="minorEastAsia"/>
                <w:sz w:val="24"/>
                <w:szCs w:val="24"/>
              </w:rPr>
              <w:t>月</w:t>
            </w:r>
            <w:r>
              <w:rPr>
                <w:rFonts w:hint="eastAsia" w:eastAsiaTheme="minorEastAsia"/>
                <w:sz w:val="24"/>
                <w:szCs w:val="24"/>
              </w:rPr>
              <w:t>31</w:t>
            </w:r>
            <w:r>
              <w:rPr>
                <w:rFonts w:hAnsiTheme="minorEastAsia" w:eastAsiaTheme="minorEastAsia"/>
                <w:sz w:val="24"/>
                <w:szCs w:val="24"/>
              </w:rPr>
              <w:t>日</w:t>
            </w:r>
            <w:r>
              <w:rPr>
                <w:rFonts w:eastAsiaTheme="minorEastAsia"/>
                <w:sz w:val="24"/>
                <w:szCs w:val="24"/>
              </w:rPr>
              <w:t>“</w:t>
            </w:r>
            <w:r>
              <w:rPr>
                <w:rFonts w:hAnsiTheme="minorEastAsia" w:eastAsiaTheme="minorEastAsia"/>
                <w:sz w:val="24"/>
                <w:szCs w:val="24"/>
              </w:rPr>
              <w:t>目标考核表</w:t>
            </w:r>
            <w:r>
              <w:rPr>
                <w:rFonts w:eastAsiaTheme="minorEastAsia"/>
                <w:sz w:val="24"/>
                <w:szCs w:val="24"/>
              </w:rPr>
              <w:t>”</w:t>
            </w:r>
            <w:r>
              <w:rPr>
                <w:rFonts w:hAnsiTheme="minorEastAsia" w:eastAsiaTheme="minorEastAsia"/>
                <w:sz w:val="24"/>
                <w:szCs w:val="24"/>
              </w:rPr>
              <w:t>，检查考核已完成，考核人</w:t>
            </w:r>
            <w:r>
              <w:rPr>
                <w:rFonts w:hint="eastAsia" w:hAnsiTheme="minorEastAsia" w:eastAsiaTheme="minorEastAsia"/>
                <w:sz w:val="24"/>
                <w:szCs w:val="24"/>
              </w:rPr>
              <w:t>詹发松、</w:t>
            </w:r>
            <w:r>
              <w:rPr>
                <w:rFonts w:hint="eastAsia" w:ascii="宋体" w:hAnsi="宋体"/>
                <w:sz w:val="24"/>
                <w:szCs w:val="28"/>
              </w:rPr>
              <w:t>黄志华</w:t>
            </w:r>
            <w:r>
              <w:rPr>
                <w:rFonts w:hAnsiTheme="minorEastAsia" w:eastAsiaTheme="minorEastAsia"/>
                <w:sz w:val="24"/>
                <w:szCs w:val="24"/>
              </w:rPr>
              <w:t>。</w:t>
            </w:r>
          </w:p>
          <w:p>
            <w:pPr>
              <w:spacing w:line="360" w:lineRule="auto"/>
              <w:ind w:firstLine="480" w:firstLineChars="200"/>
              <w:jc w:val="left"/>
              <w:rPr>
                <w:rFonts w:eastAsiaTheme="minorEastAsia"/>
                <w:sz w:val="24"/>
                <w:szCs w:val="24"/>
              </w:rPr>
            </w:pPr>
            <w:r>
              <w:rPr>
                <w:rFonts w:hAnsiTheme="minorEastAsia" w:eastAsiaTheme="minorEastAsia"/>
                <w:sz w:val="24"/>
                <w:szCs w:val="24"/>
              </w:rPr>
              <w:t>查环境、安全检查记录，公司提供了《环境安全运行检查记录》检查项目内容涉及：</w:t>
            </w:r>
          </w:p>
          <w:p>
            <w:pPr>
              <w:spacing w:line="360" w:lineRule="auto"/>
              <w:ind w:firstLine="480" w:firstLineChars="200"/>
              <w:jc w:val="left"/>
              <w:rPr>
                <w:rFonts w:eastAsiaTheme="minorEastAsia"/>
                <w:sz w:val="24"/>
                <w:szCs w:val="24"/>
              </w:rPr>
            </w:pPr>
            <w:r>
              <w:rPr>
                <w:rFonts w:hint="eastAsia" w:hAnsiTheme="minorEastAsia" w:eastAsiaTheme="minorEastAsia"/>
                <w:sz w:val="24"/>
                <w:szCs w:val="24"/>
              </w:rPr>
              <w:t>各区域卫生垃圾处理，废料处理、物料储存安全情况；消防设施是否完好；消防通道是否畅通；消防设施是否定期进行点检；人员是否按规定穿戴防护用品，设备安全情况、噪音情况、</w:t>
            </w:r>
            <w:r>
              <w:rPr>
                <w:rFonts w:hint="eastAsia" w:ascii="宋体" w:hAnsi="宋体"/>
                <w:sz w:val="24"/>
              </w:rPr>
              <w:t>生产安全用电情况、用电是否有乱搭线现象；接地保护是否完好</w:t>
            </w:r>
            <w:r>
              <w:rPr>
                <w:rFonts w:hint="eastAsia" w:hAnsiTheme="minorEastAsia" w:eastAsiaTheme="minorEastAsia"/>
                <w:sz w:val="24"/>
                <w:szCs w:val="24"/>
              </w:rPr>
              <w:t>等</w:t>
            </w:r>
            <w:r>
              <w:rPr>
                <w:rFonts w:hAnsiTheme="minorEastAsia" w:eastAsiaTheme="minorEastAsia"/>
                <w:sz w:val="24"/>
                <w:szCs w:val="24"/>
              </w:rPr>
              <w:t>。</w:t>
            </w:r>
          </w:p>
          <w:p>
            <w:pPr>
              <w:spacing w:line="360" w:lineRule="auto"/>
              <w:ind w:firstLine="480" w:firstLineChars="200"/>
              <w:jc w:val="left"/>
              <w:rPr>
                <w:rFonts w:hAnsiTheme="minorEastAsia" w:eastAsiaTheme="minorEastAsia"/>
                <w:sz w:val="24"/>
                <w:szCs w:val="24"/>
              </w:rPr>
            </w:pPr>
            <w:r>
              <w:rPr>
                <w:rFonts w:hint="eastAsia" w:hAnsiTheme="minorEastAsia" w:eastAsiaTheme="minorEastAsia"/>
                <w:sz w:val="24"/>
                <w:szCs w:val="24"/>
              </w:rPr>
              <w:t>抽查202</w:t>
            </w:r>
            <w:r>
              <w:rPr>
                <w:rFonts w:hint="eastAsia" w:hAnsiTheme="minorEastAsia" w:eastAsiaTheme="minorEastAsia"/>
                <w:sz w:val="24"/>
                <w:szCs w:val="24"/>
                <w:lang w:val="en-US" w:eastAsia="zh-CN"/>
              </w:rPr>
              <w:t>1</w:t>
            </w:r>
            <w:r>
              <w:rPr>
                <w:rFonts w:hint="eastAsia" w:hAnsiTheme="minorEastAsia" w:eastAsiaTheme="minorEastAsia"/>
                <w:sz w:val="24"/>
                <w:szCs w:val="24"/>
              </w:rPr>
              <w:t>.4.17日、202</w:t>
            </w:r>
            <w:r>
              <w:rPr>
                <w:rFonts w:hint="eastAsia" w:hAnsiTheme="minorEastAsia" w:eastAsiaTheme="minorEastAsia"/>
                <w:sz w:val="24"/>
                <w:szCs w:val="24"/>
                <w:lang w:val="en-US" w:eastAsia="zh-CN"/>
              </w:rPr>
              <w:t>1</w:t>
            </w:r>
            <w:r>
              <w:rPr>
                <w:rFonts w:hint="eastAsia" w:hAnsiTheme="minorEastAsia" w:eastAsiaTheme="minorEastAsia"/>
                <w:sz w:val="24"/>
                <w:szCs w:val="24"/>
              </w:rPr>
              <w:t>.5.</w:t>
            </w:r>
            <w:r>
              <w:rPr>
                <w:rFonts w:hint="eastAsia" w:hAnsiTheme="minorEastAsia" w:eastAsiaTheme="minorEastAsia"/>
                <w:sz w:val="24"/>
                <w:szCs w:val="24"/>
                <w:lang w:val="en-US" w:eastAsia="zh-CN"/>
              </w:rPr>
              <w:t>31</w:t>
            </w:r>
            <w:r>
              <w:rPr>
                <w:rFonts w:hint="eastAsia" w:hAnsiTheme="minorEastAsia" w:eastAsiaTheme="minorEastAsia"/>
                <w:sz w:val="24"/>
                <w:szCs w:val="24"/>
              </w:rPr>
              <w:t>日日检查结果均正常，检查人</w:t>
            </w:r>
            <w:r>
              <w:rPr>
                <w:rFonts w:hint="eastAsia" w:hAnsiTheme="minorEastAsia" w:eastAsiaTheme="minorEastAsia"/>
                <w:sz w:val="24"/>
                <w:szCs w:val="24"/>
                <w:lang w:val="en-US" w:eastAsia="zh-CN"/>
              </w:rPr>
              <w:t>胡建林</w:t>
            </w:r>
            <w:bookmarkStart w:id="0" w:name="_GoBack"/>
            <w:bookmarkEnd w:id="0"/>
            <w:r>
              <w:rPr>
                <w:rFonts w:hAnsiTheme="minorEastAsia" w:eastAsiaTheme="minorEastAsia"/>
                <w:sz w:val="24"/>
                <w:szCs w:val="24"/>
              </w:rPr>
              <w:t>。</w:t>
            </w:r>
          </w:p>
          <w:p>
            <w:pPr>
              <w:spacing w:line="360" w:lineRule="auto"/>
              <w:ind w:firstLine="480" w:firstLineChars="200"/>
              <w:jc w:val="left"/>
              <w:rPr>
                <w:rFonts w:hAnsiTheme="minorEastAsia" w:eastAsiaTheme="minorEastAsia"/>
                <w:sz w:val="24"/>
                <w:szCs w:val="24"/>
              </w:rPr>
            </w:pPr>
            <w:r>
              <w:rPr>
                <w:rFonts w:hAnsiTheme="minorEastAsia" w:eastAsiaTheme="minorEastAsia"/>
                <w:sz w:val="24"/>
                <w:szCs w:val="24"/>
              </w:rPr>
              <w:t>未有上级主管部门的监督检查。</w:t>
            </w:r>
          </w:p>
          <w:p>
            <w:pPr>
              <w:spacing w:line="360" w:lineRule="auto"/>
              <w:ind w:firstLine="480" w:firstLineChars="200"/>
              <w:jc w:val="left"/>
              <w:rPr>
                <w:rFonts w:eastAsiaTheme="minorEastAsia"/>
                <w:sz w:val="24"/>
                <w:szCs w:val="24"/>
              </w:rPr>
            </w:pPr>
            <w:r>
              <w:rPr>
                <w:rFonts w:hAnsiTheme="minorEastAsia" w:eastAsiaTheme="minorEastAsia"/>
                <w:sz w:val="24"/>
                <w:szCs w:val="24"/>
              </w:rPr>
              <w:t>公司经营能遵守相关的法律法规，没有违反环境法律法规现象，近期没有发生环境事故。</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809" w:type="dxa"/>
            <w:vAlign w:val="center"/>
          </w:tcPr>
          <w:p>
            <w:pPr>
              <w:rPr>
                <w:rFonts w:eastAsiaTheme="minorEastAsia"/>
                <w:szCs w:val="21"/>
              </w:rPr>
            </w:pPr>
            <w:r>
              <w:rPr>
                <w:rFonts w:hAnsiTheme="minorEastAsia" w:eastAsiaTheme="minorEastAsia"/>
                <w:szCs w:val="21"/>
              </w:rPr>
              <w:t>运行策划和控制</w:t>
            </w:r>
          </w:p>
        </w:tc>
        <w:tc>
          <w:tcPr>
            <w:tcW w:w="1311" w:type="dxa"/>
          </w:tcPr>
          <w:p>
            <w:pPr>
              <w:spacing w:line="360" w:lineRule="auto"/>
              <w:rPr>
                <w:rFonts w:eastAsiaTheme="minorEastAsia"/>
                <w:szCs w:val="21"/>
              </w:rPr>
            </w:pPr>
            <w:r>
              <w:rPr>
                <w:rFonts w:eastAsiaTheme="minorEastAsia"/>
                <w:szCs w:val="21"/>
              </w:rPr>
              <w:t>E</w:t>
            </w:r>
            <w:r>
              <w:rPr>
                <w:rFonts w:hAnsiTheme="minorEastAsia" w:eastAsiaTheme="minorEastAsia"/>
                <w:szCs w:val="21"/>
              </w:rPr>
              <w:t>：</w:t>
            </w:r>
            <w:r>
              <w:rPr>
                <w:rFonts w:eastAsiaTheme="minorEastAsia"/>
                <w:szCs w:val="21"/>
              </w:rPr>
              <w:t xml:space="preserve"> 8.1</w:t>
            </w:r>
          </w:p>
        </w:tc>
        <w:tc>
          <w:tcPr>
            <w:tcW w:w="10004" w:type="dxa"/>
          </w:tcPr>
          <w:p>
            <w:pPr>
              <w:tabs>
                <w:tab w:val="left" w:pos="6597"/>
              </w:tabs>
              <w:spacing w:line="360" w:lineRule="auto"/>
              <w:rPr>
                <w:rFonts w:hAnsiTheme="minorEastAsia" w:eastAsiaTheme="minorEastAsia"/>
                <w:szCs w:val="21"/>
              </w:rPr>
            </w:pPr>
          </w:p>
          <w:p>
            <w:pPr>
              <w:tabs>
                <w:tab w:val="left" w:pos="6597"/>
              </w:tabs>
              <w:spacing w:line="360" w:lineRule="auto"/>
              <w:ind w:firstLine="480" w:firstLineChars="200"/>
              <w:rPr>
                <w:rFonts w:eastAsiaTheme="minorEastAsia"/>
                <w:sz w:val="24"/>
                <w:szCs w:val="24"/>
              </w:rPr>
            </w:pPr>
            <w:r>
              <w:rPr>
                <w:rFonts w:hint="eastAsia" w:eastAsiaTheme="minorEastAsia"/>
                <w:sz w:val="24"/>
                <w:szCs w:val="24"/>
              </w:rPr>
              <w:t>公司制定并实施了编制并实施了环境控制程序和管理制度，有关的文件有《管理运行控制程序》、《节约用水管理规定》、《垃圾管理规定》、《消防控制程序》《应急预案》等。</w:t>
            </w:r>
          </w:p>
          <w:p>
            <w:pPr>
              <w:tabs>
                <w:tab w:val="left" w:pos="6597"/>
              </w:tabs>
              <w:spacing w:line="360" w:lineRule="auto"/>
              <w:ind w:firstLine="480" w:firstLineChars="200"/>
              <w:rPr>
                <w:rFonts w:hAnsiTheme="minorEastAsia" w:eastAsiaTheme="minorEastAsia"/>
                <w:sz w:val="24"/>
                <w:szCs w:val="24"/>
              </w:rPr>
            </w:pPr>
            <w:r>
              <w:rPr>
                <w:rFonts w:hint="eastAsia" w:eastAsiaTheme="minorEastAsia"/>
                <w:sz w:val="24"/>
                <w:szCs w:val="24"/>
              </w:rPr>
              <w:t>品保部检验人员</w:t>
            </w:r>
            <w:r>
              <w:rPr>
                <w:rFonts w:hint="eastAsia" w:hAnsiTheme="minorEastAsia" w:eastAsiaTheme="minorEastAsia"/>
                <w:sz w:val="24"/>
                <w:szCs w:val="24"/>
              </w:rPr>
              <w:t>傲爱玲正在进行检验陶瓷基板产品工作，</w:t>
            </w:r>
            <w:r>
              <w:rPr>
                <w:rFonts w:hint="eastAsia" w:eastAsiaTheme="minorEastAsia"/>
                <w:sz w:val="24"/>
                <w:szCs w:val="24"/>
              </w:rPr>
              <w:t>穿戴手套、口罩、工作服等防护用品进行作业，检验设备主要为数显游标卡尺、厚度千分尺、电子秤、影像测量仪等</w:t>
            </w:r>
            <w:r>
              <w:rPr>
                <w:rFonts w:hint="eastAsia" w:hAnsiTheme="minorEastAsia" w:eastAsiaTheme="minorEastAsia"/>
                <w:sz w:val="24"/>
                <w:szCs w:val="24"/>
              </w:rPr>
              <w:t>，主要进行尺寸、外观、电性能测试项目，测试过程中，无废水、废气、废渣排放。；</w:t>
            </w:r>
          </w:p>
          <w:p>
            <w:pPr>
              <w:tabs>
                <w:tab w:val="left" w:pos="6597"/>
              </w:tabs>
              <w:spacing w:line="360" w:lineRule="auto"/>
              <w:ind w:firstLine="480" w:firstLineChars="200"/>
              <w:rPr>
                <w:rFonts w:eastAsiaTheme="minorEastAsia"/>
                <w:sz w:val="24"/>
                <w:szCs w:val="24"/>
              </w:rPr>
            </w:pPr>
            <w:r>
              <w:rPr>
                <w:rFonts w:hint="eastAsia" w:eastAsiaTheme="minorEastAsia"/>
                <w:sz w:val="24"/>
                <w:szCs w:val="24"/>
              </w:rPr>
              <w:t>询问相关员工环保安全意识及作业要求，经过了培训相关安全意识及作业培训，能熟练回答相关要求，与作业要求及注意事项一致，能知悉工作中相关的主要危险源及防护要求。查看品保部区域内检验设备，</w:t>
            </w:r>
            <w:r>
              <w:rPr>
                <w:rFonts w:hint="eastAsia" w:hAnsiTheme="minorEastAsia" w:eastAsiaTheme="minorEastAsia"/>
                <w:sz w:val="24"/>
                <w:szCs w:val="24"/>
              </w:rPr>
              <w:t>各设备设施安装稳固，有安全警示标识，风险告知，设备运行噪音轻微，制订了相关作业指导书及注意事项。区域内</w:t>
            </w:r>
            <w:r>
              <w:rPr>
                <w:rFonts w:hint="eastAsia" w:eastAsiaTheme="minorEastAsia"/>
                <w:sz w:val="24"/>
                <w:szCs w:val="24"/>
              </w:rPr>
              <w:t>现场电线布线合理，电线均处于完好状态，状态良好，电器有漏电保护器，经常对电路、电源进行检查，没有露电现象发生。</w:t>
            </w:r>
          </w:p>
          <w:p>
            <w:pPr>
              <w:tabs>
                <w:tab w:val="left" w:pos="6597"/>
              </w:tabs>
              <w:spacing w:line="360" w:lineRule="auto"/>
              <w:ind w:firstLine="480" w:firstLineChars="200"/>
              <w:rPr>
                <w:rFonts w:eastAsiaTheme="minorEastAsia"/>
                <w:sz w:val="24"/>
                <w:szCs w:val="24"/>
              </w:rPr>
            </w:pPr>
            <w:r>
              <w:rPr>
                <w:rFonts w:hint="eastAsia" w:eastAsiaTheme="minorEastAsia"/>
                <w:sz w:val="24"/>
                <w:szCs w:val="24"/>
              </w:rPr>
              <w:t>员工饮用水为纯净水通过饮水机饮用。</w:t>
            </w:r>
          </w:p>
          <w:p>
            <w:pPr>
              <w:tabs>
                <w:tab w:val="left" w:pos="6597"/>
              </w:tabs>
              <w:spacing w:line="360" w:lineRule="auto"/>
              <w:ind w:firstLine="480" w:firstLineChars="200"/>
              <w:rPr>
                <w:rFonts w:eastAsiaTheme="minorEastAsia"/>
                <w:sz w:val="24"/>
                <w:szCs w:val="24"/>
              </w:rPr>
            </w:pPr>
            <w:r>
              <w:rPr>
                <w:rFonts w:hint="eastAsia" w:eastAsiaTheme="minorEastAsia"/>
                <w:sz w:val="24"/>
                <w:szCs w:val="24"/>
              </w:rPr>
              <w:t>员工到车间检验时注意滑倒、碰伤等，遵守车间的环保和安全管理制度，禁止吸烟，穿戴劳保用品。</w:t>
            </w:r>
          </w:p>
          <w:p>
            <w:pPr>
              <w:tabs>
                <w:tab w:val="left" w:pos="6597"/>
              </w:tabs>
              <w:spacing w:line="360" w:lineRule="auto"/>
              <w:rPr>
                <w:rFonts w:eastAsiaTheme="minorEastAsia"/>
                <w:szCs w:val="21"/>
              </w:rPr>
            </w:pPr>
            <w:r>
              <w:rPr>
                <w:rFonts w:hint="eastAsia" w:eastAsiaTheme="minorEastAsia"/>
                <w:sz w:val="24"/>
                <w:szCs w:val="24"/>
              </w:rPr>
              <w:t>检验和办公现场用电安全、废弃物管理、安全防护等，均良好，未发现异常现象，运行控制基本有效。</w:t>
            </w:r>
          </w:p>
        </w:tc>
        <w:tc>
          <w:tcPr>
            <w:tcW w:w="1585" w:type="dxa"/>
          </w:tcPr>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rPr>
                <w:rFonts w:eastAsiaTheme="minorEastAsia"/>
                <w:szCs w:val="21"/>
              </w:rPr>
            </w:pPr>
            <w:r>
              <w:rPr>
                <w:rFonts w:hint="eastAsia" w:asciiTheme="minorEastAsia" w:hAnsiTheme="minorEastAsia" w:eastAsiaTheme="minorEastAsia" w:cstheme="minorEastAsia"/>
                <w:szCs w:val="21"/>
              </w:rPr>
              <w:t>应急准备和响应</w:t>
            </w:r>
          </w:p>
        </w:tc>
        <w:tc>
          <w:tcPr>
            <w:tcW w:w="1311" w:type="dxa"/>
            <w:vAlign w:val="center"/>
          </w:tcPr>
          <w:p>
            <w:pPr>
              <w:rPr>
                <w:rFonts w:eastAsiaTheme="minorEastAsia"/>
                <w:szCs w:val="21"/>
              </w:rPr>
            </w:pPr>
            <w:r>
              <w:rPr>
                <w:rFonts w:hint="eastAsia" w:asciiTheme="minorEastAsia" w:hAnsiTheme="minorEastAsia" w:eastAsiaTheme="minorEastAsia" w:cstheme="minorEastAsia"/>
                <w:szCs w:val="21"/>
              </w:rPr>
              <w:t>E8.2</w:t>
            </w:r>
          </w:p>
        </w:tc>
        <w:tc>
          <w:tcPr>
            <w:tcW w:w="10004" w:type="dxa"/>
            <w:vAlign w:val="center"/>
          </w:tcPr>
          <w:p>
            <w:pPr>
              <w:ind w:firstLine="420" w:firstLineChars="200"/>
              <w:rPr>
                <w:rFonts w:ascii="宋体" w:hAnsi="宋体" w:cs="宋体"/>
                <w:szCs w:val="21"/>
              </w:rPr>
            </w:pPr>
            <w:r>
              <w:rPr>
                <w:rFonts w:hint="eastAsia" w:ascii="宋体" w:hAnsi="宋体" w:cs="宋体"/>
                <w:szCs w:val="21"/>
              </w:rPr>
              <w:t>提供了紧急事故预防应急办法，制定了预防措施和应急措施。</w:t>
            </w:r>
          </w:p>
          <w:p>
            <w:pPr>
              <w:ind w:firstLine="420" w:firstLineChars="200"/>
              <w:rPr>
                <w:rFonts w:ascii="宋体" w:hAnsi="宋体" w:cs="宋体"/>
                <w:szCs w:val="21"/>
                <w:lang w:val="en-GB"/>
              </w:rPr>
            </w:pPr>
            <w:r>
              <w:rPr>
                <w:rFonts w:hint="eastAsia" w:ascii="宋体" w:hAnsi="宋体" w:cs="宋体"/>
                <w:szCs w:val="21"/>
                <w:lang w:val="en-GB"/>
              </w:rPr>
              <w:t>制定了《应急准备和响应控制程序》，包含有事件级别及不同级别事件的处理程序、事件处理组织机构及职责分工、通用及特殊处理程序、各岗位要求等。具有可操作性。</w:t>
            </w:r>
          </w:p>
          <w:p>
            <w:pPr>
              <w:ind w:firstLine="420" w:firstLineChars="200"/>
              <w:rPr>
                <w:rFonts w:ascii="宋体" w:hAnsi="宋体" w:cs="宋体"/>
                <w:szCs w:val="21"/>
                <w:lang w:val="en-GB"/>
              </w:rPr>
            </w:pPr>
            <w:r>
              <w:rPr>
                <w:rFonts w:hint="eastAsia" w:ascii="宋体" w:hAnsi="宋体" w:cs="宋体"/>
                <w:szCs w:val="21"/>
                <w:lang w:val="en-GB"/>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1日</w:t>
            </w:r>
            <w:r>
              <w:rPr>
                <w:rFonts w:hint="eastAsia" w:ascii="宋体" w:hAnsi="宋体" w:cs="宋体"/>
                <w:szCs w:val="21"/>
                <w:lang w:val="en-GB"/>
              </w:rPr>
              <w:t>编制</w:t>
            </w:r>
            <w:r>
              <w:rPr>
                <w:rFonts w:hint="eastAsia" w:ascii="宋体" w:hAnsi="宋体" w:cs="宋体"/>
                <w:szCs w:val="21"/>
                <w:lang w:val="en-US" w:eastAsia="zh-CN"/>
              </w:rPr>
              <w:t>应急演练评审表</w:t>
            </w:r>
            <w:r>
              <w:rPr>
                <w:rFonts w:hint="eastAsia" w:ascii="宋体" w:hAnsi="宋体" w:cs="宋体"/>
                <w:szCs w:val="21"/>
                <w:lang w:val="en-GB"/>
              </w:rPr>
              <w:t>，</w:t>
            </w:r>
            <w:r>
              <w:rPr>
                <w:rFonts w:hint="eastAsia" w:ascii="宋体" w:hAnsi="宋体" w:cs="宋体"/>
                <w:szCs w:val="21"/>
                <w:lang w:val="en-US" w:eastAsia="zh-CN"/>
              </w:rPr>
              <w:t>评审结论：按照计划</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日进行《消防应急预案》</w:t>
            </w:r>
            <w:r>
              <w:rPr>
                <w:rFonts w:hint="eastAsia" w:ascii="宋体" w:hAnsi="宋体" w:cs="宋体"/>
                <w:szCs w:val="21"/>
                <w:lang w:val="en-GB"/>
              </w:rPr>
              <w:t>演习，演练内容，</w:t>
            </w:r>
            <w:r>
              <w:rPr>
                <w:rFonts w:hint="eastAsia" w:ascii="宋体" w:hAnsi="宋体" w:cs="宋体"/>
                <w:szCs w:val="21"/>
                <w:lang w:val="en-US" w:eastAsia="zh-CN"/>
              </w:rPr>
              <w:t>6</w:t>
            </w:r>
            <w:r>
              <w:rPr>
                <w:rFonts w:hint="eastAsia" w:ascii="宋体" w:hAnsi="宋体" w:cs="宋体"/>
                <w:szCs w:val="21"/>
                <w:lang w:val="en-GB"/>
              </w:rPr>
              <w:t>月</w:t>
            </w:r>
            <w:r>
              <w:rPr>
                <w:rFonts w:hint="eastAsia" w:ascii="宋体" w:hAnsi="宋体" w:cs="宋体"/>
                <w:szCs w:val="21"/>
                <w:lang w:val="en-US" w:eastAsia="zh-CN"/>
              </w:rPr>
              <w:t>30</w:t>
            </w:r>
            <w:r>
              <w:rPr>
                <w:rFonts w:hint="eastAsia" w:ascii="宋体" w:hAnsi="宋体" w:cs="宋体"/>
                <w:szCs w:val="21"/>
                <w:lang w:val="en-GB"/>
              </w:rPr>
              <w:t>日员工正在上班，突然车间火警铃响起，公司第一时间报火警，并组织员工疏散自救，全体员工在规定时间内通过各个安全出口逃生。从各个安全出口通道逃生至指定位置后，各区域负责人及时清点人数，并向现场指挥报告；仓库需安排专职一人在确认人员全部疏散后，降下防火卷帘。生产部各车间楼层需要安排专职一人在确认人员全部疏散后，关闭防火门。。</w:t>
            </w:r>
          </w:p>
          <w:p>
            <w:pPr>
              <w:ind w:firstLine="420" w:firstLineChars="200"/>
              <w:rPr>
                <w:rFonts w:ascii="宋体" w:hAnsi="宋体" w:cs="宋体"/>
                <w:szCs w:val="21"/>
                <w:lang w:val="en-GB"/>
              </w:rPr>
            </w:pPr>
            <w:r>
              <w:rPr>
                <w:rFonts w:hint="eastAsia" w:ascii="宋体" w:hAnsi="宋体" w:cs="宋体"/>
                <w:szCs w:val="21"/>
                <w:lang w:val="en-GB"/>
              </w:rPr>
              <w:t>物资准备和人员培训情况，演练物品：</w:t>
            </w:r>
            <w:r>
              <w:rPr>
                <w:rFonts w:hint="eastAsia" w:ascii="宋体" w:hAnsi="宋体" w:cs="宋体"/>
                <w:szCs w:val="21"/>
              </w:rPr>
              <w:t>火盆、柴油、点火棒、灭火器、秒表</w:t>
            </w:r>
            <w:r>
              <w:rPr>
                <w:rFonts w:hint="eastAsia" w:ascii="宋体" w:hAnsi="宋体" w:cs="宋体"/>
                <w:szCs w:val="21"/>
                <w:lang w:val="en-GB"/>
              </w:rPr>
              <w:t>，进入现场前由安全员讲</w:t>
            </w:r>
            <w:r>
              <w:rPr>
                <w:rFonts w:hint="eastAsia" w:ascii="宋体" w:hAnsi="宋体" w:cs="宋体"/>
                <w:szCs w:val="21"/>
                <w:lang w:val="en-US" w:eastAsia="zh-CN"/>
              </w:rPr>
              <w:t>火灾</w:t>
            </w:r>
            <w:r>
              <w:rPr>
                <w:rFonts w:hint="eastAsia" w:ascii="宋体" w:hAnsi="宋体" w:cs="宋体"/>
                <w:szCs w:val="21"/>
                <w:lang w:val="en-GB"/>
              </w:rPr>
              <w:t>发生处理事项要领和个人安全防护要求。</w:t>
            </w:r>
          </w:p>
          <w:p>
            <w:pPr>
              <w:ind w:firstLine="420" w:firstLineChars="200"/>
              <w:rPr>
                <w:rFonts w:ascii="宋体" w:hAnsi="宋体" w:cs="宋体"/>
                <w:szCs w:val="21"/>
                <w:lang w:val="en-GB"/>
              </w:rPr>
            </w:pPr>
            <w:r>
              <w:rPr>
                <w:rFonts w:hint="eastAsia" w:ascii="宋体" w:hAnsi="宋体" w:cs="宋体"/>
                <w:szCs w:val="21"/>
                <w:lang w:val="en-GB"/>
              </w:rPr>
              <w:t>提供了应急设备器具台账，出示消防演习方案，明确了活动时间、地点、演习科目、参加人数、现场布置示意图、紧急疏散示意图、义务消防队成员及职责分工、联系方式等内容，内容具体清楚。</w:t>
            </w:r>
          </w:p>
          <w:p>
            <w:pPr>
              <w:pStyle w:val="2"/>
              <w:ind w:firstLine="460" w:firstLineChars="200"/>
              <w:rPr>
                <w:rFonts w:ascii="楷体_GB2312"/>
                <w:szCs w:val="21"/>
              </w:rPr>
            </w:pPr>
            <w:r>
              <w:rPr>
                <w:rFonts w:hint="eastAsia" w:ascii="宋体" w:hAnsi="宋体" w:cs="宋体"/>
                <w:szCs w:val="21"/>
                <w:lang w:val="en-GB"/>
              </w:rPr>
              <w:t>应急演练后对应急预案进行了评审，</w:t>
            </w:r>
            <w:r>
              <w:rPr>
                <w:rFonts w:hint="eastAsia" w:ascii="楷体_GB2312"/>
                <w:szCs w:val="21"/>
              </w:rPr>
              <w:t>效果评价：本次演习组织有序，计划灭火演练</w:t>
            </w:r>
            <w:r>
              <w:rPr>
                <w:rFonts w:hint="eastAsia" w:ascii="楷体_GB2312"/>
                <w:szCs w:val="21"/>
                <w:lang w:val="en-US" w:eastAsia="zh-CN"/>
              </w:rPr>
              <w:t>45</w:t>
            </w:r>
            <w:r>
              <w:rPr>
                <w:rFonts w:hint="eastAsia" w:ascii="楷体_GB2312"/>
                <w:szCs w:val="21"/>
              </w:rPr>
              <w:t>分钟，每人实操使用灭火器灭火，效果良好。</w:t>
            </w:r>
          </w:p>
          <w:p>
            <w:pPr>
              <w:pStyle w:val="2"/>
              <w:ind w:firstLine="460" w:firstLineChars="200"/>
              <w:rPr>
                <w:rFonts w:ascii="楷体_GB2312"/>
                <w:szCs w:val="21"/>
              </w:rPr>
            </w:pPr>
            <w:r>
              <w:rPr>
                <w:rFonts w:hint="eastAsia" w:ascii="楷体_GB2312"/>
                <w:szCs w:val="21"/>
              </w:rPr>
              <w:t>逃生演练：员工熟悉了逃生路线及集合地点，初步达到预定目标。</w:t>
            </w:r>
          </w:p>
          <w:p>
            <w:pPr>
              <w:pStyle w:val="2"/>
              <w:ind w:firstLine="460" w:firstLineChars="200"/>
              <w:rPr>
                <w:rFonts w:ascii="宋体" w:hAnsi="宋体" w:cs="宋体"/>
                <w:szCs w:val="21"/>
                <w:lang w:val="en-GB"/>
              </w:rPr>
            </w:pPr>
            <w:r>
              <w:rPr>
                <w:rFonts w:hint="eastAsia" w:ascii="宋体" w:hAnsi="宋体" w:cs="宋体"/>
                <w:szCs w:val="21"/>
                <w:lang w:val="en-GB"/>
              </w:rPr>
              <w:t>应急预案不重要修订。</w:t>
            </w:r>
            <w:r>
              <w:rPr>
                <w:rFonts w:hint="eastAsia" w:cs="楷体" w:asciiTheme="minorEastAsia" w:hAnsiTheme="minorEastAsia" w:eastAsiaTheme="minorEastAsia"/>
                <w:szCs w:val="24"/>
              </w:rPr>
              <w:t>自体系运行以来尚未发生紧急情况。</w:t>
            </w:r>
          </w:p>
          <w:p>
            <w:pPr>
              <w:spacing w:line="360" w:lineRule="atLeast"/>
              <w:ind w:firstLine="420" w:firstLineChars="200"/>
              <w:rPr>
                <w:rFonts w:eastAsiaTheme="minorEastAsia"/>
                <w:szCs w:val="21"/>
              </w:rPr>
            </w:pPr>
            <w:r>
              <w:rPr>
                <w:rFonts w:hint="eastAsia"/>
              </w:rPr>
              <w:t>设备工程部参与了此次演练。</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eastAsiaTheme="minorEastAsia"/>
                <w:sz w:val="24"/>
                <w:szCs w:val="24"/>
              </w:rPr>
            </w:pPr>
            <w:r>
              <w:rPr>
                <w:rFonts w:hAnsiTheme="minorEastAsia" w:eastAsiaTheme="minorEastAsia"/>
                <w:sz w:val="24"/>
                <w:szCs w:val="24"/>
              </w:rPr>
              <w:t>内部审核</w:t>
            </w:r>
          </w:p>
        </w:tc>
        <w:tc>
          <w:tcPr>
            <w:tcW w:w="1311" w:type="dxa"/>
          </w:tcPr>
          <w:p>
            <w:pPr>
              <w:spacing w:line="360" w:lineRule="auto"/>
              <w:rPr>
                <w:rFonts w:eastAsiaTheme="minorEastAsia"/>
                <w:sz w:val="24"/>
                <w:szCs w:val="24"/>
              </w:rPr>
            </w:pPr>
            <w:r>
              <w:rPr>
                <w:rFonts w:eastAsiaTheme="minorEastAsia"/>
                <w:sz w:val="24"/>
                <w:szCs w:val="24"/>
              </w:rPr>
              <w:t>E9.2</w:t>
            </w:r>
          </w:p>
        </w:tc>
        <w:tc>
          <w:tcPr>
            <w:tcW w:w="10004" w:type="dxa"/>
          </w:tcPr>
          <w:p>
            <w:pPr>
              <w:tabs>
                <w:tab w:val="left" w:pos="6597"/>
              </w:tabs>
              <w:spacing w:line="360" w:lineRule="auto"/>
              <w:ind w:firstLine="480" w:firstLineChars="200"/>
              <w:rPr>
                <w:rFonts w:hAnsiTheme="minorEastAsia" w:eastAsiaTheme="minorEastAsia"/>
                <w:sz w:val="24"/>
                <w:szCs w:val="24"/>
              </w:rPr>
            </w:pPr>
            <w:r>
              <w:rPr>
                <w:rFonts w:hAnsiTheme="minorEastAsia" w:eastAsiaTheme="minorEastAsia"/>
                <w:sz w:val="24"/>
                <w:szCs w:val="24"/>
              </w:rPr>
              <w:t>由组长</w:t>
            </w:r>
            <w:r>
              <w:rPr>
                <w:rFonts w:hint="eastAsia" w:hAnsiTheme="minorEastAsia" w:eastAsiaTheme="minorEastAsia"/>
                <w:sz w:val="24"/>
                <w:szCs w:val="24"/>
              </w:rPr>
              <w:t>詹发松</w:t>
            </w:r>
            <w:r>
              <w:rPr>
                <w:rFonts w:hAnsiTheme="minorEastAsia" w:eastAsiaTheme="minorEastAsia"/>
                <w:sz w:val="24"/>
                <w:szCs w:val="24"/>
              </w:rPr>
              <w:t>组织内部审核，查年度审核计划：提供《内部审核计划》，其内容已包括了审核目的、范围、依据。</w:t>
            </w:r>
          </w:p>
          <w:p>
            <w:pPr>
              <w:tabs>
                <w:tab w:val="left" w:pos="6597"/>
              </w:tabs>
              <w:spacing w:line="360" w:lineRule="auto"/>
              <w:ind w:firstLine="480" w:firstLineChars="200"/>
              <w:rPr>
                <w:rFonts w:hAnsiTheme="minorEastAsia" w:eastAsiaTheme="minorEastAsia"/>
                <w:sz w:val="24"/>
                <w:szCs w:val="24"/>
              </w:rPr>
            </w:pPr>
            <w:r>
              <w:rPr>
                <w:rFonts w:hAnsiTheme="minorEastAsia" w:eastAsiaTheme="minorEastAsia"/>
                <w:sz w:val="24"/>
                <w:szCs w:val="24"/>
              </w:rPr>
              <w:t>审核组构成：组长：</w:t>
            </w:r>
            <w:r>
              <w:rPr>
                <w:rFonts w:hint="eastAsia" w:hAnsiTheme="minorEastAsia" w:eastAsiaTheme="minorEastAsia"/>
                <w:sz w:val="24"/>
                <w:szCs w:val="24"/>
              </w:rPr>
              <w:t xml:space="preserve">詹发松  </w:t>
            </w:r>
            <w:r>
              <w:rPr>
                <w:rFonts w:hAnsiTheme="minorEastAsia" w:eastAsiaTheme="minorEastAsia"/>
                <w:sz w:val="24"/>
                <w:szCs w:val="24"/>
              </w:rPr>
              <w:t>组员：</w:t>
            </w:r>
            <w:r>
              <w:rPr>
                <w:rFonts w:hint="eastAsia" w:hAnsiTheme="minorEastAsia" w:eastAsiaTheme="minorEastAsia"/>
                <w:sz w:val="24"/>
                <w:szCs w:val="24"/>
                <w:lang w:val="en-US" w:eastAsia="zh-CN"/>
              </w:rPr>
              <w:t>胡泽林</w:t>
            </w:r>
            <w:r>
              <w:rPr>
                <w:rFonts w:hint="eastAsia" w:hAnsiTheme="minorEastAsia" w:eastAsiaTheme="minorEastAsia"/>
                <w:sz w:val="24"/>
                <w:szCs w:val="24"/>
              </w:rPr>
              <w:t>、赵春荣、王 建、杨谷林、刘定生等</w:t>
            </w:r>
            <w:r>
              <w:rPr>
                <w:rFonts w:hAnsiTheme="minorEastAsia" w:eastAsiaTheme="minorEastAsia"/>
                <w:sz w:val="24"/>
                <w:szCs w:val="24"/>
              </w:rPr>
              <w:t>；</w:t>
            </w:r>
          </w:p>
          <w:p>
            <w:pPr>
              <w:tabs>
                <w:tab w:val="left" w:pos="6597"/>
              </w:tabs>
              <w:spacing w:line="360" w:lineRule="auto"/>
              <w:ind w:firstLine="480" w:firstLineChars="200"/>
              <w:rPr>
                <w:rFonts w:hAnsiTheme="minorEastAsia" w:eastAsiaTheme="minorEastAsia"/>
                <w:sz w:val="24"/>
                <w:szCs w:val="24"/>
              </w:rPr>
            </w:pPr>
            <w:r>
              <w:rPr>
                <w:rFonts w:hAnsiTheme="minorEastAsia" w:eastAsiaTheme="minorEastAsia"/>
                <w:sz w:val="24"/>
                <w:szCs w:val="24"/>
              </w:rPr>
              <w:t>1. 审核时间202</w:t>
            </w:r>
            <w:r>
              <w:rPr>
                <w:rFonts w:hint="eastAsia" w:hAnsiTheme="minorEastAsia" w:eastAsiaTheme="minorEastAsia"/>
                <w:sz w:val="24"/>
                <w:szCs w:val="24"/>
                <w:lang w:val="en-US" w:eastAsia="zh-CN"/>
              </w:rPr>
              <w:t>1</w:t>
            </w:r>
            <w:r>
              <w:rPr>
                <w:rFonts w:hAnsiTheme="minorEastAsia" w:eastAsiaTheme="minorEastAsia"/>
                <w:sz w:val="24"/>
                <w:szCs w:val="24"/>
              </w:rPr>
              <w:t>年</w:t>
            </w:r>
            <w:r>
              <w:rPr>
                <w:rFonts w:hint="eastAsia" w:hAnsiTheme="minorEastAsia" w:eastAsiaTheme="minorEastAsia"/>
                <w:sz w:val="24"/>
                <w:szCs w:val="24"/>
                <w:lang w:val="en-US" w:eastAsia="zh-CN"/>
              </w:rPr>
              <w:t>5</w:t>
            </w:r>
            <w:r>
              <w:rPr>
                <w:rFonts w:hAnsiTheme="minorEastAsia" w:eastAsiaTheme="minorEastAsia"/>
                <w:sz w:val="24"/>
                <w:szCs w:val="24"/>
              </w:rPr>
              <w:t>月</w:t>
            </w:r>
            <w:r>
              <w:rPr>
                <w:rFonts w:hint="eastAsia" w:hAnsiTheme="minorEastAsia" w:eastAsiaTheme="minorEastAsia"/>
                <w:sz w:val="24"/>
                <w:szCs w:val="24"/>
                <w:lang w:val="en-US" w:eastAsia="zh-CN"/>
              </w:rPr>
              <w:t>3</w:t>
            </w:r>
            <w:r>
              <w:rPr>
                <w:rFonts w:hint="eastAsia" w:hAnsiTheme="minorEastAsia" w:eastAsiaTheme="minorEastAsia"/>
                <w:sz w:val="24"/>
                <w:szCs w:val="24"/>
              </w:rPr>
              <w:t>1日</w:t>
            </w:r>
            <w:r>
              <w:rPr>
                <w:rFonts w:hAnsiTheme="minorEastAsia" w:eastAsiaTheme="minorEastAsia"/>
                <w:sz w:val="24"/>
                <w:szCs w:val="24"/>
              </w:rPr>
              <w:t>，</w:t>
            </w:r>
          </w:p>
          <w:p>
            <w:pPr>
              <w:tabs>
                <w:tab w:val="left" w:pos="6597"/>
              </w:tabs>
              <w:spacing w:line="360" w:lineRule="auto"/>
              <w:ind w:firstLine="480" w:firstLineChars="200"/>
              <w:rPr>
                <w:rFonts w:hAnsiTheme="minorEastAsia" w:eastAsiaTheme="minorEastAsia"/>
                <w:sz w:val="24"/>
                <w:szCs w:val="24"/>
              </w:rPr>
            </w:pPr>
            <w:r>
              <w:rPr>
                <w:rFonts w:hAnsiTheme="minorEastAsia" w:eastAsiaTheme="minorEastAsia"/>
                <w:sz w:val="24"/>
                <w:szCs w:val="24"/>
              </w:rPr>
              <w:t>2.审核按计划进行，抽查检查表行政人事部、</w:t>
            </w:r>
            <w:r>
              <w:rPr>
                <w:rFonts w:hint="eastAsia" w:hAnsiTheme="minorEastAsia" w:eastAsiaTheme="minorEastAsia"/>
                <w:sz w:val="24"/>
                <w:szCs w:val="24"/>
              </w:rPr>
              <w:t>业务</w:t>
            </w:r>
            <w:r>
              <w:rPr>
                <w:rFonts w:hAnsiTheme="minorEastAsia" w:eastAsiaTheme="minorEastAsia"/>
                <w:sz w:val="24"/>
                <w:szCs w:val="24"/>
              </w:rPr>
              <w:t>部、资材部、生产部、品保部、研发部、设备工程部、财务部审核记录与计划相一致，内审员经内部培训合格，能力还需加强；</w:t>
            </w:r>
          </w:p>
          <w:p>
            <w:pPr>
              <w:tabs>
                <w:tab w:val="left" w:pos="6597"/>
              </w:tabs>
              <w:spacing w:line="360" w:lineRule="auto"/>
              <w:ind w:firstLine="480" w:firstLineChars="200"/>
              <w:rPr>
                <w:rFonts w:hAnsiTheme="minorEastAsia" w:eastAsiaTheme="minorEastAsia"/>
                <w:sz w:val="24"/>
                <w:szCs w:val="24"/>
              </w:rPr>
            </w:pPr>
            <w:r>
              <w:rPr>
                <w:rFonts w:hAnsiTheme="minorEastAsia" w:eastAsiaTheme="minorEastAsia"/>
                <w:sz w:val="24"/>
                <w:szCs w:val="24"/>
              </w:rPr>
              <w:t>审核计划已考虑到互查的公正性，无审核员审核本部门的工作，计划内容涉及各部门，条款覆盖整个体系。本次内审发现</w:t>
            </w:r>
            <w:r>
              <w:rPr>
                <w:rFonts w:hint="eastAsia" w:hAnsiTheme="minorEastAsia" w:eastAsiaTheme="minorEastAsia"/>
                <w:sz w:val="24"/>
                <w:szCs w:val="24"/>
                <w:lang w:val="en-US" w:eastAsia="zh-CN"/>
              </w:rPr>
              <w:t>1</w:t>
            </w:r>
            <w:r>
              <w:rPr>
                <w:rFonts w:hAnsiTheme="minorEastAsia" w:eastAsiaTheme="minorEastAsia"/>
                <w:sz w:val="24"/>
                <w:szCs w:val="24"/>
              </w:rPr>
              <w:t>个一般不符合项（</w:t>
            </w:r>
            <w:r>
              <w:rPr>
                <w:rFonts w:hint="eastAsia" w:hAnsiTheme="minorEastAsia" w:eastAsiaTheme="minorEastAsia"/>
                <w:sz w:val="24"/>
                <w:szCs w:val="24"/>
                <w:lang w:val="en-US" w:eastAsia="zh-CN"/>
              </w:rPr>
              <w:t>环境因素识别与评价表中描述纸张的使用和电的使用为重要环境因素，但未制定控制方案</w:t>
            </w:r>
            <w:r>
              <w:rPr>
                <w:rFonts w:hint="eastAsia" w:hAnsiTheme="minorEastAsia" w:eastAsiaTheme="minorEastAsia"/>
                <w:sz w:val="24"/>
                <w:szCs w:val="24"/>
              </w:rPr>
              <w:t>。</w:t>
            </w:r>
            <w:r>
              <w:rPr>
                <w:rFonts w:hAnsiTheme="minorEastAsia" w:eastAsiaTheme="minorEastAsia"/>
                <w:sz w:val="24"/>
                <w:szCs w:val="24"/>
              </w:rPr>
              <w:t>）针对不合格，责任部门已分析了原因并采取了纠正措施，按要求进行了整改，最后内审员进行了验证，纠正措施实施有效。</w:t>
            </w:r>
          </w:p>
          <w:p>
            <w:pPr>
              <w:tabs>
                <w:tab w:val="left" w:pos="6597"/>
              </w:tabs>
              <w:spacing w:line="360" w:lineRule="auto"/>
              <w:ind w:firstLine="480" w:firstLineChars="200"/>
              <w:rPr>
                <w:rFonts w:eastAsiaTheme="minorEastAsia"/>
                <w:sz w:val="24"/>
                <w:szCs w:val="24"/>
                <w:highlight w:val="yellow"/>
              </w:rPr>
            </w:pPr>
            <w:r>
              <w:rPr>
                <w:rFonts w:hAnsiTheme="minorEastAsia" w:eastAsiaTheme="minorEastAsia"/>
                <w:sz w:val="24"/>
                <w:szCs w:val="24"/>
              </w:rPr>
              <w:t>内部审核结论：提供了《内部审核报告》，对现场审核进行了综述，对环境管理体系进行了符合性的综合评价，最后结论为：</w:t>
            </w:r>
            <w:r>
              <w:rPr>
                <w:rFonts w:hint="eastAsia" w:hAnsiTheme="minorEastAsia" w:eastAsiaTheme="minorEastAsia"/>
                <w:sz w:val="24"/>
                <w:szCs w:val="24"/>
              </w:rPr>
              <w:t>本次内审在各部门的支持和配合下，内审组能够较系统地对公司进行检查，认为公司环境管理体系运行基本良好，运行达到一定的效果，基本符合ISO14001:2015标准的要求，但仍存在不足，各部门应举一反三，对类似问题予以整改。</w:t>
            </w:r>
          </w:p>
        </w:tc>
        <w:tc>
          <w:tcPr>
            <w:tcW w:w="1585" w:type="dxa"/>
          </w:tcPr>
          <w:p>
            <w:pPr>
              <w:rPr>
                <w:rFonts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360" w:lineRule="auto"/>
              <w:rPr>
                <w:rFonts w:eastAsiaTheme="minorEastAsia"/>
                <w:sz w:val="24"/>
                <w:szCs w:val="24"/>
              </w:rPr>
            </w:pPr>
            <w:r>
              <w:rPr>
                <w:rFonts w:hAnsiTheme="minorEastAsia" w:eastAsiaTheme="minorEastAsia"/>
                <w:sz w:val="24"/>
                <w:szCs w:val="24"/>
              </w:rPr>
              <w:t>不合格和纠正措施</w:t>
            </w:r>
          </w:p>
        </w:tc>
        <w:tc>
          <w:tcPr>
            <w:tcW w:w="1311" w:type="dxa"/>
          </w:tcPr>
          <w:p>
            <w:pPr>
              <w:spacing w:line="360" w:lineRule="auto"/>
              <w:rPr>
                <w:rFonts w:eastAsiaTheme="minorEastAsia"/>
                <w:sz w:val="24"/>
                <w:szCs w:val="24"/>
              </w:rPr>
            </w:pPr>
            <w:r>
              <w:rPr>
                <w:rFonts w:eastAsiaTheme="minorEastAsia"/>
                <w:sz w:val="24"/>
                <w:szCs w:val="24"/>
              </w:rPr>
              <w:t>E10.2</w:t>
            </w:r>
          </w:p>
          <w:p>
            <w:pPr>
              <w:spacing w:line="360" w:lineRule="auto"/>
              <w:rPr>
                <w:rFonts w:eastAsiaTheme="minorEastAsia"/>
                <w:sz w:val="24"/>
                <w:szCs w:val="24"/>
              </w:rPr>
            </w:pPr>
          </w:p>
        </w:tc>
        <w:tc>
          <w:tcPr>
            <w:tcW w:w="10004" w:type="dxa"/>
          </w:tcPr>
          <w:p>
            <w:pPr>
              <w:spacing w:line="360" w:lineRule="auto"/>
              <w:ind w:firstLine="480" w:firstLineChars="200"/>
              <w:rPr>
                <w:rFonts w:eastAsiaTheme="minorEastAsia"/>
                <w:sz w:val="24"/>
                <w:szCs w:val="24"/>
              </w:rPr>
            </w:pPr>
            <w:r>
              <w:rPr>
                <w:rFonts w:hAnsiTheme="minorEastAsia" w:eastAsiaTheme="minorEastAsia"/>
                <w:sz w:val="24"/>
                <w:szCs w:val="24"/>
              </w:rPr>
              <w:t>保持实施《不符合、纠正和预防措施控制程序》、《事故调查处理控制程序》，对纠正预防措施识别、评审、验证，事故事件报告、调查、处理等作了规定，其内容符合组织实际及标准要求。</w:t>
            </w:r>
          </w:p>
          <w:p>
            <w:pPr>
              <w:spacing w:line="360" w:lineRule="auto"/>
              <w:ind w:firstLine="480" w:firstLineChars="200"/>
              <w:rPr>
                <w:rFonts w:eastAsiaTheme="minorEastAsia"/>
                <w:sz w:val="24"/>
                <w:szCs w:val="24"/>
              </w:rPr>
            </w:pPr>
            <w:r>
              <w:rPr>
                <w:rFonts w:hAnsiTheme="minorEastAsia" w:eastAsiaTheme="minorEastAsia"/>
                <w:sz w:val="24"/>
                <w:szCs w:val="24"/>
              </w:rPr>
              <w:t>对内审中提出不合格项进行了原因分析</w:t>
            </w:r>
            <w:r>
              <w:rPr>
                <w:rFonts w:eastAsiaTheme="minorEastAsia"/>
                <w:sz w:val="24"/>
                <w:szCs w:val="24"/>
              </w:rPr>
              <w:t>,</w:t>
            </w:r>
            <w:r>
              <w:rPr>
                <w:rFonts w:hAnsiTheme="minorEastAsia" w:eastAsiaTheme="minorEastAsia"/>
                <w:sz w:val="24"/>
                <w:szCs w:val="24"/>
              </w:rPr>
              <w:t>并制定、实施了纠正措施，并由内审员对所采取的纠正措施进行了验证，纠正措施有效，管理评审中发现的薄弱环节，分析了原因，采取了纠正措施（参见内审和管理评审审核记录）。</w:t>
            </w:r>
          </w:p>
          <w:p>
            <w:pPr>
              <w:spacing w:line="360" w:lineRule="auto"/>
              <w:ind w:firstLine="480" w:firstLineChars="200"/>
              <w:rPr>
                <w:rFonts w:eastAsiaTheme="minorEastAsia"/>
                <w:sz w:val="24"/>
                <w:szCs w:val="24"/>
              </w:rPr>
            </w:pPr>
            <w:r>
              <w:rPr>
                <w:rFonts w:hAnsiTheme="minorEastAsia" w:eastAsiaTheme="minorEastAsia"/>
                <w:sz w:val="24"/>
                <w:szCs w:val="24"/>
              </w:rPr>
              <w:t>体系运行以来公司按照体系的要求，通过运行控制、加强培训，以及开展管理评审活动等方式采取预防措施，防止不符合</w:t>
            </w:r>
            <w:r>
              <w:rPr>
                <w:rFonts w:eastAsiaTheme="minorEastAsia"/>
                <w:sz w:val="24"/>
                <w:szCs w:val="24"/>
              </w:rPr>
              <w:t>/</w:t>
            </w:r>
            <w:r>
              <w:rPr>
                <w:rFonts w:hAnsiTheme="minorEastAsia" w:eastAsiaTheme="minorEastAsia"/>
                <w:sz w:val="24"/>
                <w:szCs w:val="24"/>
              </w:rPr>
              <w:t>不合格的发生，不符合得到了有效控制，人员质量、环保、安全意识有了明显提高，没有发现潜在的不符合，没有发生重大质量事故和投诉处罚，没有发生环境、职业健康安全事件和投诉处罚。</w:t>
            </w:r>
          </w:p>
          <w:p>
            <w:pPr>
              <w:tabs>
                <w:tab w:val="left" w:pos="6597"/>
              </w:tabs>
              <w:spacing w:line="360" w:lineRule="auto"/>
              <w:ind w:firstLine="480" w:firstLineChars="200"/>
              <w:rPr>
                <w:rFonts w:eastAsiaTheme="minorEastAsia"/>
                <w:sz w:val="24"/>
                <w:szCs w:val="24"/>
              </w:rPr>
            </w:pPr>
            <w:r>
              <w:rPr>
                <w:rFonts w:hAnsiTheme="minorEastAsia" w:eastAsiaTheme="minorEastAsia"/>
                <w:sz w:val="24"/>
                <w:szCs w:val="24"/>
              </w:rPr>
              <w:t>企业不合格和纠正措施的管理符合标准规定要求。</w:t>
            </w:r>
          </w:p>
        </w:tc>
        <w:tc>
          <w:tcPr>
            <w:tcW w:w="1585" w:type="dxa"/>
          </w:tcPr>
          <w:p>
            <w:pPr>
              <w:rPr>
                <w:rFonts w:eastAsiaTheme="minorEastAsia"/>
                <w:sz w:val="24"/>
                <w:szCs w:val="24"/>
              </w:rPr>
            </w:pPr>
          </w:p>
        </w:tc>
      </w:tr>
    </w:tbl>
    <w:p>
      <w:pPr>
        <w:jc w:val="center"/>
        <w:rPr>
          <w:rFonts w:eastAsiaTheme="minorEastAsia"/>
        </w:rPr>
      </w:pPr>
    </w:p>
    <w:p>
      <w:pPr>
        <w:pStyle w:val="4"/>
        <w:rPr>
          <w:rFonts w:eastAsiaTheme="minorEastAsia"/>
        </w:rPr>
      </w:pPr>
      <w:r>
        <w:rPr>
          <w:rFonts w:hAnsiTheme="minorEastAsia" w:eastAsiaTheme="minorEastAsia"/>
        </w:rPr>
        <w:t>说明：不符合标注</w:t>
      </w:r>
      <w:r>
        <w:rPr>
          <w:rFonts w:eastAsiaTheme="minorEastAsia"/>
        </w:rPr>
        <w:t>N</w:t>
      </w:r>
    </w:p>
    <w:p>
      <w:pPr>
        <w:pStyle w:val="4"/>
        <w:rPr>
          <w:rFonts w:eastAsiaTheme="minor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rPr>
      <w:fldChar w:fldCharType="begin"/>
    </w:r>
    <w:r>
      <w:rPr>
        <w:b/>
      </w:rPr>
      <w:instrText xml:space="preserve">PAGE</w:instrText>
    </w:r>
    <w:r>
      <w:rPr>
        <w:b/>
      </w:rPr>
      <w:fldChar w:fldCharType="separate"/>
    </w:r>
    <w:r>
      <w:rPr>
        <w:b/>
      </w:rPr>
      <w:t>10</w:t>
    </w:r>
    <w:r>
      <w:rPr>
        <w:b/>
      </w:rPr>
      <w:fldChar w:fldCharType="end"/>
    </w:r>
    <w:r>
      <w:rPr>
        <w:lang w:val="zh-CN"/>
      </w:rPr>
      <w:t xml:space="preserve">/ </w:t>
    </w:r>
    <w:r>
      <w:rPr>
        <w:b/>
      </w:rPr>
      <w:fldChar w:fldCharType="begin"/>
    </w:r>
    <w:r>
      <w:rPr>
        <w:b/>
      </w:rPr>
      <w:instrText xml:space="preserve">NUMPAGES</w:instrText>
    </w:r>
    <w:r>
      <w:rPr>
        <w:b/>
      </w:rPr>
      <w:fldChar w:fldCharType="separate"/>
    </w:r>
    <w:r>
      <w:rPr>
        <w:b/>
      </w:rPr>
      <w:t>10</w:t>
    </w:r>
    <w:r>
      <w:rPr>
        <w:b/>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1"/>
        <w:rFonts w:hint="eastAsia"/>
      </w:rPr>
      <w:t>北京国标联合认证有限公司</w:t>
    </w:r>
    <w:r>
      <w:rPr>
        <w:rStyle w:val="11"/>
      </w:rPr>
      <w:tab/>
    </w:r>
    <w:r>
      <w:rPr>
        <w:rStyle w:val="11"/>
      </w:rPr>
      <w:tab/>
    </w:r>
    <w:r>
      <w:rPr>
        <w:rStyle w:val="11"/>
      </w:rPr>
      <w:tab/>
    </w:r>
  </w:p>
  <w:p>
    <w:pPr>
      <w:pStyle w:val="5"/>
      <w:pBdr>
        <w:bottom w:val="none" w:color="auto" w:sz="0" w:space="0"/>
      </w:pBdr>
      <w:spacing w:line="320" w:lineRule="exact"/>
      <w:jc w:val="left"/>
    </w:pPr>
    <w:r>
      <w:pict>
        <v:shape id="文本框 1" o:spid="_x0000_s4098" o:spt="202" type="#_x0000_t202" style="position:absolute;left:0pt;margin-left:554.75pt;margin-top:2.2pt;height:20.2pt;width:172pt;z-index:251659264;mso-width-relative:page;mso-height-relative:page;" stroked="f" coordsize="21600,21600">
          <v:path arrowok="t"/>
          <v:fill focussize="0,0"/>
          <v:stroke on="f" joinstyle="miter"/>
          <v:imagedata o:title=""/>
          <o:lock v:ext="edit"/>
          <v:textbox>
            <w:txbxContent>
              <w:p>
                <w:r>
                  <w:t>ISC-B-I</w:t>
                </w:r>
                <w:r>
                  <w:rPr>
                    <w:sz w:val="18"/>
                    <w:szCs w:val="18"/>
                  </w:rPr>
                  <w:t>I-10</w:t>
                </w:r>
                <w:r>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Pr>
        <w:rStyle w:val="11"/>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73B4"/>
    <w:rsid w:val="00004817"/>
    <w:rsid w:val="000214B6"/>
    <w:rsid w:val="0002531E"/>
    <w:rsid w:val="0003373A"/>
    <w:rsid w:val="000412F6"/>
    <w:rsid w:val="0005199E"/>
    <w:rsid w:val="00053861"/>
    <w:rsid w:val="00054863"/>
    <w:rsid w:val="0005697E"/>
    <w:rsid w:val="000579CF"/>
    <w:rsid w:val="000602FA"/>
    <w:rsid w:val="0007023B"/>
    <w:rsid w:val="000803D0"/>
    <w:rsid w:val="00082216"/>
    <w:rsid w:val="00082398"/>
    <w:rsid w:val="00082817"/>
    <w:rsid w:val="000849D2"/>
    <w:rsid w:val="00086F5D"/>
    <w:rsid w:val="00095FE1"/>
    <w:rsid w:val="00097037"/>
    <w:rsid w:val="000A5E44"/>
    <w:rsid w:val="000B1394"/>
    <w:rsid w:val="000B40BD"/>
    <w:rsid w:val="000B51BD"/>
    <w:rsid w:val="000C0F8E"/>
    <w:rsid w:val="000C123B"/>
    <w:rsid w:val="000C6B55"/>
    <w:rsid w:val="000D5401"/>
    <w:rsid w:val="000D697A"/>
    <w:rsid w:val="000E2B69"/>
    <w:rsid w:val="000E7EF7"/>
    <w:rsid w:val="000F35F1"/>
    <w:rsid w:val="000F7D53"/>
    <w:rsid w:val="001022F1"/>
    <w:rsid w:val="0010278D"/>
    <w:rsid w:val="001037D5"/>
    <w:rsid w:val="001149C9"/>
    <w:rsid w:val="00121EA6"/>
    <w:rsid w:val="00142A5B"/>
    <w:rsid w:val="0014561D"/>
    <w:rsid w:val="00145688"/>
    <w:rsid w:val="001677C1"/>
    <w:rsid w:val="001918ED"/>
    <w:rsid w:val="00192A7F"/>
    <w:rsid w:val="00194706"/>
    <w:rsid w:val="00197C93"/>
    <w:rsid w:val="001A2D7F"/>
    <w:rsid w:val="001A3DF8"/>
    <w:rsid w:val="001A572D"/>
    <w:rsid w:val="001B5FE9"/>
    <w:rsid w:val="001D4AD8"/>
    <w:rsid w:val="001D54FF"/>
    <w:rsid w:val="001E1974"/>
    <w:rsid w:val="001E4FED"/>
    <w:rsid w:val="00202BC2"/>
    <w:rsid w:val="00207191"/>
    <w:rsid w:val="00214113"/>
    <w:rsid w:val="00215081"/>
    <w:rsid w:val="00217F1D"/>
    <w:rsid w:val="00222532"/>
    <w:rsid w:val="00237445"/>
    <w:rsid w:val="00241F85"/>
    <w:rsid w:val="00257930"/>
    <w:rsid w:val="002651A6"/>
    <w:rsid w:val="00272C8B"/>
    <w:rsid w:val="00287A2B"/>
    <w:rsid w:val="002973F0"/>
    <w:rsid w:val="002975C1"/>
    <w:rsid w:val="002A0E6E"/>
    <w:rsid w:val="002A33CC"/>
    <w:rsid w:val="002B0BF6"/>
    <w:rsid w:val="002B1808"/>
    <w:rsid w:val="002C1ACE"/>
    <w:rsid w:val="002C3E0D"/>
    <w:rsid w:val="002D38C3"/>
    <w:rsid w:val="002D399A"/>
    <w:rsid w:val="002D41FB"/>
    <w:rsid w:val="002E0587"/>
    <w:rsid w:val="002E1E1D"/>
    <w:rsid w:val="002E7E5D"/>
    <w:rsid w:val="002F5B15"/>
    <w:rsid w:val="002F77F9"/>
    <w:rsid w:val="003023CC"/>
    <w:rsid w:val="00317401"/>
    <w:rsid w:val="00326FC1"/>
    <w:rsid w:val="00337922"/>
    <w:rsid w:val="00340867"/>
    <w:rsid w:val="00341208"/>
    <w:rsid w:val="00342857"/>
    <w:rsid w:val="00343857"/>
    <w:rsid w:val="00347CB2"/>
    <w:rsid w:val="003608CB"/>
    <w:rsid w:val="003627B6"/>
    <w:rsid w:val="003634F1"/>
    <w:rsid w:val="00366FA6"/>
    <w:rsid w:val="003708D5"/>
    <w:rsid w:val="0037501F"/>
    <w:rsid w:val="0038061A"/>
    <w:rsid w:val="0038063B"/>
    <w:rsid w:val="00380837"/>
    <w:rsid w:val="00381BEB"/>
    <w:rsid w:val="00382EDD"/>
    <w:rsid w:val="003836CA"/>
    <w:rsid w:val="003844E1"/>
    <w:rsid w:val="00384960"/>
    <w:rsid w:val="00384A69"/>
    <w:rsid w:val="00386A98"/>
    <w:rsid w:val="00390345"/>
    <w:rsid w:val="003A1E9C"/>
    <w:rsid w:val="003C0FC6"/>
    <w:rsid w:val="003D0F55"/>
    <w:rsid w:val="003D6BE3"/>
    <w:rsid w:val="003E0E52"/>
    <w:rsid w:val="003E3112"/>
    <w:rsid w:val="003F20A5"/>
    <w:rsid w:val="003F5AFC"/>
    <w:rsid w:val="00400B96"/>
    <w:rsid w:val="00405D5F"/>
    <w:rsid w:val="00410914"/>
    <w:rsid w:val="00414A26"/>
    <w:rsid w:val="00415AA3"/>
    <w:rsid w:val="00420C60"/>
    <w:rsid w:val="00422783"/>
    <w:rsid w:val="00430432"/>
    <w:rsid w:val="00433759"/>
    <w:rsid w:val="0043494E"/>
    <w:rsid w:val="004414A5"/>
    <w:rsid w:val="00456697"/>
    <w:rsid w:val="0046133E"/>
    <w:rsid w:val="00465FE1"/>
    <w:rsid w:val="00475491"/>
    <w:rsid w:val="004869FB"/>
    <w:rsid w:val="00491735"/>
    <w:rsid w:val="00494A46"/>
    <w:rsid w:val="00494F89"/>
    <w:rsid w:val="004A2955"/>
    <w:rsid w:val="004B217F"/>
    <w:rsid w:val="004B3E7F"/>
    <w:rsid w:val="004B4A3D"/>
    <w:rsid w:val="004B549E"/>
    <w:rsid w:val="004C07FE"/>
    <w:rsid w:val="004C2A19"/>
    <w:rsid w:val="004C6045"/>
    <w:rsid w:val="004D22E0"/>
    <w:rsid w:val="004D391C"/>
    <w:rsid w:val="004D3E4C"/>
    <w:rsid w:val="004D41EE"/>
    <w:rsid w:val="004D7519"/>
    <w:rsid w:val="004E27B4"/>
    <w:rsid w:val="004F1590"/>
    <w:rsid w:val="004F185D"/>
    <w:rsid w:val="004F3F59"/>
    <w:rsid w:val="005056ED"/>
    <w:rsid w:val="00511BA6"/>
    <w:rsid w:val="00517E4C"/>
    <w:rsid w:val="0052007E"/>
    <w:rsid w:val="00521CF0"/>
    <w:rsid w:val="005247CE"/>
    <w:rsid w:val="0053208B"/>
    <w:rsid w:val="005331FF"/>
    <w:rsid w:val="00534814"/>
    <w:rsid w:val="00536930"/>
    <w:rsid w:val="00537FE3"/>
    <w:rsid w:val="00551AE7"/>
    <w:rsid w:val="00560A2A"/>
    <w:rsid w:val="00564E53"/>
    <w:rsid w:val="00583277"/>
    <w:rsid w:val="00592C3E"/>
    <w:rsid w:val="005A000F"/>
    <w:rsid w:val="005B173D"/>
    <w:rsid w:val="005B6888"/>
    <w:rsid w:val="005D2643"/>
    <w:rsid w:val="005D7FAE"/>
    <w:rsid w:val="005E28A0"/>
    <w:rsid w:val="005F6C65"/>
    <w:rsid w:val="00600F02"/>
    <w:rsid w:val="0060444D"/>
    <w:rsid w:val="00611CCB"/>
    <w:rsid w:val="00622EE3"/>
    <w:rsid w:val="00633904"/>
    <w:rsid w:val="00642776"/>
    <w:rsid w:val="00644FE2"/>
    <w:rsid w:val="00645FB8"/>
    <w:rsid w:val="00651986"/>
    <w:rsid w:val="006545E8"/>
    <w:rsid w:val="00664736"/>
    <w:rsid w:val="00665980"/>
    <w:rsid w:val="006737A3"/>
    <w:rsid w:val="0067640C"/>
    <w:rsid w:val="006836D9"/>
    <w:rsid w:val="00695256"/>
    <w:rsid w:val="006954CE"/>
    <w:rsid w:val="00695570"/>
    <w:rsid w:val="00696AF1"/>
    <w:rsid w:val="006A3B31"/>
    <w:rsid w:val="006A68F3"/>
    <w:rsid w:val="006A6A80"/>
    <w:rsid w:val="006B4127"/>
    <w:rsid w:val="006C24BF"/>
    <w:rsid w:val="006C40B9"/>
    <w:rsid w:val="006D08DD"/>
    <w:rsid w:val="006E678B"/>
    <w:rsid w:val="0070367F"/>
    <w:rsid w:val="00712F3C"/>
    <w:rsid w:val="0071390C"/>
    <w:rsid w:val="007170AA"/>
    <w:rsid w:val="00732B66"/>
    <w:rsid w:val="007378CB"/>
    <w:rsid w:val="00737C8F"/>
    <w:rsid w:val="007406DE"/>
    <w:rsid w:val="00743E79"/>
    <w:rsid w:val="00744BEA"/>
    <w:rsid w:val="00751532"/>
    <w:rsid w:val="00751C37"/>
    <w:rsid w:val="0075769B"/>
    <w:rsid w:val="00757C58"/>
    <w:rsid w:val="00760481"/>
    <w:rsid w:val="007757F3"/>
    <w:rsid w:val="007815DC"/>
    <w:rsid w:val="007A47FB"/>
    <w:rsid w:val="007B106B"/>
    <w:rsid w:val="007B275D"/>
    <w:rsid w:val="007B768F"/>
    <w:rsid w:val="007E6AEB"/>
    <w:rsid w:val="007E77A0"/>
    <w:rsid w:val="007F01EC"/>
    <w:rsid w:val="007F7DF2"/>
    <w:rsid w:val="007F7DF4"/>
    <w:rsid w:val="008079FA"/>
    <w:rsid w:val="00810D58"/>
    <w:rsid w:val="008150B9"/>
    <w:rsid w:val="00835B31"/>
    <w:rsid w:val="00847F60"/>
    <w:rsid w:val="00853BC9"/>
    <w:rsid w:val="008646DE"/>
    <w:rsid w:val="00864902"/>
    <w:rsid w:val="00864BE7"/>
    <w:rsid w:val="00865200"/>
    <w:rsid w:val="00871695"/>
    <w:rsid w:val="00891C25"/>
    <w:rsid w:val="008973EE"/>
    <w:rsid w:val="00897B67"/>
    <w:rsid w:val="008B6F0D"/>
    <w:rsid w:val="008C0A5A"/>
    <w:rsid w:val="008D089D"/>
    <w:rsid w:val="008D3DF2"/>
    <w:rsid w:val="008E24A5"/>
    <w:rsid w:val="008F0B04"/>
    <w:rsid w:val="008F4ED3"/>
    <w:rsid w:val="008F63B8"/>
    <w:rsid w:val="008F7C55"/>
    <w:rsid w:val="009002AF"/>
    <w:rsid w:val="00924567"/>
    <w:rsid w:val="00926BFD"/>
    <w:rsid w:val="00930694"/>
    <w:rsid w:val="0093521F"/>
    <w:rsid w:val="00945677"/>
    <w:rsid w:val="00955B84"/>
    <w:rsid w:val="00962F78"/>
    <w:rsid w:val="00965C9D"/>
    <w:rsid w:val="0096609F"/>
    <w:rsid w:val="00971600"/>
    <w:rsid w:val="00983F17"/>
    <w:rsid w:val="00984342"/>
    <w:rsid w:val="009973B4"/>
    <w:rsid w:val="009A1B11"/>
    <w:rsid w:val="009A3AF9"/>
    <w:rsid w:val="009A4A41"/>
    <w:rsid w:val="009B7EB8"/>
    <w:rsid w:val="009E2444"/>
    <w:rsid w:val="009E30DA"/>
    <w:rsid w:val="009E6193"/>
    <w:rsid w:val="009E7DD1"/>
    <w:rsid w:val="009F7EED"/>
    <w:rsid w:val="00A138EC"/>
    <w:rsid w:val="00A3649D"/>
    <w:rsid w:val="00A36D0F"/>
    <w:rsid w:val="00A411EF"/>
    <w:rsid w:val="00A619FC"/>
    <w:rsid w:val="00A66648"/>
    <w:rsid w:val="00A801DE"/>
    <w:rsid w:val="00A90A22"/>
    <w:rsid w:val="00A97734"/>
    <w:rsid w:val="00AA7F40"/>
    <w:rsid w:val="00AB05B9"/>
    <w:rsid w:val="00AB41FC"/>
    <w:rsid w:val="00AB6787"/>
    <w:rsid w:val="00AB7D2F"/>
    <w:rsid w:val="00AD6F34"/>
    <w:rsid w:val="00AF0AAB"/>
    <w:rsid w:val="00AF156F"/>
    <w:rsid w:val="00AF1B9F"/>
    <w:rsid w:val="00AF49F9"/>
    <w:rsid w:val="00AF616B"/>
    <w:rsid w:val="00B0685B"/>
    <w:rsid w:val="00B22D22"/>
    <w:rsid w:val="00B23030"/>
    <w:rsid w:val="00B237B9"/>
    <w:rsid w:val="00B23CAA"/>
    <w:rsid w:val="00B25189"/>
    <w:rsid w:val="00B410EE"/>
    <w:rsid w:val="00B43963"/>
    <w:rsid w:val="00B565AA"/>
    <w:rsid w:val="00B75064"/>
    <w:rsid w:val="00B8202D"/>
    <w:rsid w:val="00B83AEA"/>
    <w:rsid w:val="00B86D9C"/>
    <w:rsid w:val="00B929FD"/>
    <w:rsid w:val="00B95B99"/>
    <w:rsid w:val="00B95F69"/>
    <w:rsid w:val="00B97F9D"/>
    <w:rsid w:val="00BA4598"/>
    <w:rsid w:val="00BB13A7"/>
    <w:rsid w:val="00BB19A9"/>
    <w:rsid w:val="00BB385E"/>
    <w:rsid w:val="00BC2015"/>
    <w:rsid w:val="00BC71B0"/>
    <w:rsid w:val="00BF4732"/>
    <w:rsid w:val="00BF597E"/>
    <w:rsid w:val="00C03098"/>
    <w:rsid w:val="00C14685"/>
    <w:rsid w:val="00C31C73"/>
    <w:rsid w:val="00C326AE"/>
    <w:rsid w:val="00C438C2"/>
    <w:rsid w:val="00C51A36"/>
    <w:rsid w:val="00C548BE"/>
    <w:rsid w:val="00C55228"/>
    <w:rsid w:val="00C67E19"/>
    <w:rsid w:val="00C67E47"/>
    <w:rsid w:val="00C71E85"/>
    <w:rsid w:val="00C86F9B"/>
    <w:rsid w:val="00C87FEE"/>
    <w:rsid w:val="00C920A9"/>
    <w:rsid w:val="00CA659B"/>
    <w:rsid w:val="00CB260B"/>
    <w:rsid w:val="00CB66CD"/>
    <w:rsid w:val="00CD7004"/>
    <w:rsid w:val="00CE2A9E"/>
    <w:rsid w:val="00CE315A"/>
    <w:rsid w:val="00CE5B47"/>
    <w:rsid w:val="00CE7BE1"/>
    <w:rsid w:val="00CF147A"/>
    <w:rsid w:val="00CF1726"/>
    <w:rsid w:val="00CF6C5C"/>
    <w:rsid w:val="00CF701E"/>
    <w:rsid w:val="00D06F59"/>
    <w:rsid w:val="00D12FC9"/>
    <w:rsid w:val="00D16BBF"/>
    <w:rsid w:val="00D3392D"/>
    <w:rsid w:val="00D429D7"/>
    <w:rsid w:val="00D445C2"/>
    <w:rsid w:val="00D55E69"/>
    <w:rsid w:val="00D562F6"/>
    <w:rsid w:val="00D8388C"/>
    <w:rsid w:val="00D8660F"/>
    <w:rsid w:val="00D87853"/>
    <w:rsid w:val="00DA0DF0"/>
    <w:rsid w:val="00DD1C8E"/>
    <w:rsid w:val="00DE146D"/>
    <w:rsid w:val="00DE2197"/>
    <w:rsid w:val="00DE2D80"/>
    <w:rsid w:val="00DE6FCE"/>
    <w:rsid w:val="00DF76DB"/>
    <w:rsid w:val="00E038E4"/>
    <w:rsid w:val="00E13D9A"/>
    <w:rsid w:val="00E32D13"/>
    <w:rsid w:val="00E43186"/>
    <w:rsid w:val="00E43822"/>
    <w:rsid w:val="00E54035"/>
    <w:rsid w:val="00E62996"/>
    <w:rsid w:val="00E63714"/>
    <w:rsid w:val="00E64A51"/>
    <w:rsid w:val="00E660EA"/>
    <w:rsid w:val="00E676F9"/>
    <w:rsid w:val="00E730E1"/>
    <w:rsid w:val="00E75612"/>
    <w:rsid w:val="00E83BC2"/>
    <w:rsid w:val="00E910C0"/>
    <w:rsid w:val="00E96916"/>
    <w:rsid w:val="00E96A78"/>
    <w:rsid w:val="00E97424"/>
    <w:rsid w:val="00EA0B70"/>
    <w:rsid w:val="00EA55F7"/>
    <w:rsid w:val="00EB0164"/>
    <w:rsid w:val="00EB1030"/>
    <w:rsid w:val="00EB5DF5"/>
    <w:rsid w:val="00EB656A"/>
    <w:rsid w:val="00EB65F7"/>
    <w:rsid w:val="00EC42F5"/>
    <w:rsid w:val="00ED0F62"/>
    <w:rsid w:val="00EE6AB8"/>
    <w:rsid w:val="00EF2867"/>
    <w:rsid w:val="00EF2EAF"/>
    <w:rsid w:val="00EF36E7"/>
    <w:rsid w:val="00EF3EB9"/>
    <w:rsid w:val="00F024A7"/>
    <w:rsid w:val="00F06D09"/>
    <w:rsid w:val="00F11201"/>
    <w:rsid w:val="00F14D99"/>
    <w:rsid w:val="00F27D9A"/>
    <w:rsid w:val="00F311D6"/>
    <w:rsid w:val="00F32CB9"/>
    <w:rsid w:val="00F33729"/>
    <w:rsid w:val="00F35CD7"/>
    <w:rsid w:val="00F55ED2"/>
    <w:rsid w:val="00F606E1"/>
    <w:rsid w:val="00F6739D"/>
    <w:rsid w:val="00F80156"/>
    <w:rsid w:val="00F83639"/>
    <w:rsid w:val="00F840C3"/>
    <w:rsid w:val="00F856F5"/>
    <w:rsid w:val="00F956F5"/>
    <w:rsid w:val="00FA0833"/>
    <w:rsid w:val="00FA1CD0"/>
    <w:rsid w:val="00FA350D"/>
    <w:rsid w:val="00FB03C3"/>
    <w:rsid w:val="00FB5A65"/>
    <w:rsid w:val="00FC5C16"/>
    <w:rsid w:val="00FD2869"/>
    <w:rsid w:val="00FD5EE5"/>
    <w:rsid w:val="00FD72A6"/>
    <w:rsid w:val="00FE09C9"/>
    <w:rsid w:val="00FF415B"/>
    <w:rsid w:val="00FF5C75"/>
    <w:rsid w:val="01D81BE5"/>
    <w:rsid w:val="097B4631"/>
    <w:rsid w:val="108219C2"/>
    <w:rsid w:val="11BE19F8"/>
    <w:rsid w:val="140B71B5"/>
    <w:rsid w:val="143A0727"/>
    <w:rsid w:val="1ABB79A4"/>
    <w:rsid w:val="1B6C6A3E"/>
    <w:rsid w:val="20A56492"/>
    <w:rsid w:val="21495416"/>
    <w:rsid w:val="23EF0AC2"/>
    <w:rsid w:val="2E740962"/>
    <w:rsid w:val="39F52ADD"/>
    <w:rsid w:val="43582F9D"/>
    <w:rsid w:val="4C5163BD"/>
    <w:rsid w:val="4EC17F0A"/>
    <w:rsid w:val="4F9335E5"/>
    <w:rsid w:val="50F574B7"/>
    <w:rsid w:val="573033D2"/>
    <w:rsid w:val="5EA12B9A"/>
    <w:rsid w:val="65DB374D"/>
    <w:rsid w:val="686569EF"/>
    <w:rsid w:val="6A920F4D"/>
    <w:rsid w:val="75E51A49"/>
    <w:rsid w:val="7A233B15"/>
    <w:rsid w:val="7AC36EB8"/>
    <w:rsid w:val="7AC71A63"/>
    <w:rsid w:val="7B384F55"/>
    <w:rsid w:val="7B6224E7"/>
    <w:rsid w:val="7CF139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8"/>
    <w:semiHidden/>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qFormat/>
    <w:locked/>
    <w:uiPriority w:val="99"/>
    <w:rPr>
      <w:rFonts w:ascii="Times New Roman" w:hAnsi="Times New Roman" w:eastAsia="宋体" w:cs="Times New Roman"/>
      <w:sz w:val="18"/>
      <w:szCs w:val="18"/>
    </w:rPr>
  </w:style>
  <w:style w:type="character" w:customStyle="1" w:styleId="10">
    <w:name w:val="页眉 Char"/>
    <w:link w:val="5"/>
    <w:qFormat/>
    <w:locked/>
    <w:uiPriority w:val="99"/>
    <w:rPr>
      <w:rFonts w:ascii="Times New Roman" w:hAnsi="Times New Roman" w:eastAsia="宋体" w:cs="Times New Roman"/>
      <w:sz w:val="18"/>
      <w:szCs w:val="18"/>
    </w:rPr>
  </w:style>
  <w:style w:type="character" w:customStyle="1" w:styleId="11">
    <w:name w:val="Char Char1"/>
    <w:qFormat/>
    <w:locked/>
    <w:uiPriority w:val="99"/>
    <w:rPr>
      <w:rFonts w:ascii="宋体" w:hAnsi="Courier New" w:eastAsia="宋体"/>
      <w:kern w:val="2"/>
      <w:sz w:val="21"/>
      <w:lang w:val="en-US" w:eastAsia="zh-CN"/>
    </w:rPr>
  </w:style>
  <w:style w:type="character" w:customStyle="1" w:styleId="12">
    <w:name w:val="fontstyle01"/>
    <w:qFormat/>
    <w:uiPriority w:val="99"/>
    <w:rPr>
      <w:rFonts w:ascii="宋体" w:hAnsi="宋体" w:eastAsia="宋体" w:cs="Times New Roman"/>
      <w:color w:val="000000"/>
      <w:sz w:val="24"/>
      <w:szCs w:val="24"/>
    </w:rPr>
  </w:style>
  <w:style w:type="character" w:customStyle="1" w:styleId="13">
    <w:name w:val="fontstyle21"/>
    <w:qFormat/>
    <w:uiPriority w:val="99"/>
    <w:rPr>
      <w:rFonts w:ascii="Times New Roman" w:hAnsi="Times New Roman" w:cs="Times New Roman"/>
      <w:color w:val="000000"/>
      <w:sz w:val="24"/>
      <w:szCs w:val="24"/>
    </w:rPr>
  </w:style>
  <w:style w:type="paragraph" w:styleId="14">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846</Words>
  <Characters>4826</Characters>
  <Lines>40</Lines>
  <Paragraphs>11</Paragraphs>
  <TotalTime>11</TotalTime>
  <ScaleCrop>false</ScaleCrop>
  <LinksUpToDate>false</LinksUpToDate>
  <CharactersWithSpaces>5661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2019-05-18T05:12:00Z</dcterms:created>
  <dc:creator>微软用户</dc:creator>
  <cp:lastModifiedBy>lenovo</cp:lastModifiedBy>
  <dcterms:modified xsi:type="dcterms:W3CDTF">2021-07-08T03:45:23Z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A8F58AA6DF014646ABE0B193CF4AF813</vt:lpwstr>
  </property>
</Properties>
</file>