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受审核部门：行政人事部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王建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rFonts w:hAnsiTheme="minorEastAsia" w:eastAsiaTheme="minorEastAsia"/>
                <w:sz w:val="24"/>
                <w:szCs w:val="24"/>
              </w:rPr>
              <w:t>刘定生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  <w:r>
              <w:rPr>
                <w:rFonts w:hint="eastAsia" w:eastAsiaTheme="minorEastAsia"/>
                <w:kern w:val="0"/>
                <w:szCs w:val="21"/>
              </w:rPr>
              <w:t>EMS: 5.3组织的岗位、职责和权限、6.2.1环境目标、6.2.2实现环境目标措施的策划，6.1.2环境因素的识别与评价、8.1运行策划和控制、8.2应急准备和响应,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>
              <w:rPr>
                <w:rFonts w:hAnsiTheme="minor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现场审核过程了解到行政人事部主要负责：</w:t>
            </w:r>
          </w:p>
          <w:p>
            <w:pPr>
              <w:spacing w:line="420" w:lineRule="exact"/>
              <w:ind w:firstLine="57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环境安全目标方案的制定实施，办公用品的管理，信息交流与沟通，人力资源配备，员工招聘、绩效考核管理；劳动合同保险管理；后勤事务管理；企业知识的识别更新传递；；环境因素和危险源进行识别和控制；应急准备和相应控制等</w:t>
            </w:r>
          </w:p>
          <w:p>
            <w:pPr>
              <w:spacing w:line="420" w:lineRule="exact"/>
              <w:ind w:firstLine="57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部门目标：</w:t>
            </w:r>
          </w:p>
          <w:p>
            <w:pPr>
              <w:pStyle w:val="14"/>
              <w:spacing w:line="360" w:lineRule="auto"/>
              <w:jc w:val="left"/>
              <w:rPr>
                <w:rFonts w:hint="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color w:val="000000"/>
                <w:szCs w:val="21"/>
              </w:rPr>
              <w:t>年度培训计划执行率100％</w:t>
            </w:r>
          </w:p>
          <w:p>
            <w:pPr>
              <w:pStyle w:val="14"/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办公垃圾分类排放，检查合格率</w:t>
            </w:r>
            <w:r>
              <w:rPr>
                <w:rFonts w:eastAsiaTheme="minorEastAsia"/>
                <w:color w:val="000000"/>
                <w:szCs w:val="21"/>
              </w:rPr>
              <w:t>100%</w:t>
            </w:r>
            <w:r>
              <w:rPr>
                <w:rFonts w:hAnsiTheme="minorEastAsia" w:eastAsiaTheme="minorEastAsia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火灾事故为</w:t>
            </w:r>
            <w:r>
              <w:rPr>
                <w:rFonts w:eastAsiaTheme="minorEastAsia"/>
                <w:szCs w:val="21"/>
              </w:rPr>
              <w:t>0</w:t>
            </w:r>
            <w:r>
              <w:rPr>
                <w:rFonts w:hAnsiTheme="minor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eastAsiaTheme="minorEastAsia"/>
                <w:szCs w:val="21"/>
              </w:rPr>
              <w:t>-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Cs w:val="21"/>
              </w:rPr>
              <w:t>月考核情况：经查已完成。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抽环境目标管理方案，明确了措施、责任人、时间、资金投入要求。</w:t>
            </w:r>
          </w:p>
          <w:tbl>
            <w:tblPr>
              <w:tblStyle w:val="6"/>
              <w:tblW w:w="9639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9"/>
              <w:gridCol w:w="910"/>
              <w:gridCol w:w="827"/>
              <w:gridCol w:w="1012"/>
              <w:gridCol w:w="4700"/>
              <w:gridCol w:w="845"/>
              <w:gridCol w:w="936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  <w:jc w:val="center"/>
              </w:trPr>
              <w:tc>
                <w:tcPr>
                  <w:tcW w:w="409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重要环境因    素</w:t>
                  </w:r>
                </w:p>
              </w:tc>
              <w:tc>
                <w:tcPr>
                  <w:tcW w:w="827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1012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指   标</w:t>
                  </w:r>
                </w:p>
              </w:tc>
              <w:tc>
                <w:tcPr>
                  <w:tcW w:w="6481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计 划 采 取 的 方 法 和 措 施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409" w:type="dxa"/>
                  <w:vMerge w:val="continue"/>
                  <w:vAlign w:val="center"/>
                </w:tcPr>
                <w:p/>
              </w:tc>
              <w:tc>
                <w:tcPr>
                  <w:tcW w:w="910" w:type="dxa"/>
                  <w:vMerge w:val="continue"/>
                  <w:vAlign w:val="center"/>
                </w:tcPr>
                <w:p/>
              </w:tc>
              <w:tc>
                <w:tcPr>
                  <w:tcW w:w="827" w:type="dxa"/>
                  <w:vMerge w:val="continue"/>
                  <w:vAlign w:val="center"/>
                </w:tcPr>
                <w:p/>
              </w:tc>
              <w:tc>
                <w:tcPr>
                  <w:tcW w:w="1012" w:type="dxa"/>
                  <w:vMerge w:val="continue"/>
                  <w:vAlign w:val="center"/>
                </w:tcPr>
                <w:p/>
              </w:tc>
              <w:tc>
                <w:tcPr>
                  <w:tcW w:w="4700" w:type="dxa"/>
                  <w:vAlign w:val="center"/>
                </w:tcPr>
                <w:p>
                  <w:r>
                    <w:rPr>
                      <w:rFonts w:hint="eastAsia"/>
                    </w:rPr>
                    <w:t>主  要  措  施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r>
                    <w:rPr>
                      <w:rFonts w:hint="eastAsia"/>
                    </w:rPr>
                    <w:t>监控部门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  <w:jc w:val="center"/>
              </w:trPr>
              <w:tc>
                <w:tcPr>
                  <w:tcW w:w="409" w:type="dxa"/>
                  <w:vAlign w:val="center"/>
                </w:tcPr>
                <w:p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r>
                    <w:rPr>
                      <w:rFonts w:hint="eastAsia"/>
                    </w:rPr>
                    <w:t>资源消耗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r>
                    <w:rPr>
                      <w:rFonts w:hint="eastAsia"/>
                    </w:rPr>
                    <w:t>节约资源</w:t>
                  </w:r>
                </w:p>
                <w:p>
                  <w:r>
                    <w:rPr>
                      <w:rFonts w:hint="eastAsia"/>
                    </w:rPr>
                    <w:t>节能降耗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r>
                    <w:rPr>
                      <w:rFonts w:hint="eastAsia"/>
                    </w:rPr>
                    <w:t>万元产值降低水电消耗1%</w:t>
                  </w:r>
                </w:p>
              </w:tc>
              <w:tc>
                <w:tcPr>
                  <w:tcW w:w="4700" w:type="dxa"/>
                  <w:vAlign w:val="center"/>
                </w:tcPr>
                <w:p>
                  <w:r>
                    <w:rPr>
                      <w:rFonts w:hint="eastAsia"/>
                    </w:rPr>
                    <w:t>电的消耗：</w:t>
                  </w:r>
                </w:p>
                <w:p>
                  <w:r>
                    <w:rPr>
                      <w:rFonts w:hint="eastAsia"/>
                    </w:rPr>
                    <w:t>1、杜绝长明灯，人走电器关闭；</w:t>
                  </w:r>
                </w:p>
                <w:p>
                  <w:r>
                    <w:rPr>
                      <w:rFonts w:hint="eastAsia"/>
                    </w:rPr>
                    <w:t>2、加强检查，杜绝设备空转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936" w:type="dxa"/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2" w:hRule="atLeast"/>
                <w:jc w:val="center"/>
              </w:trPr>
              <w:tc>
                <w:tcPr>
                  <w:tcW w:w="409" w:type="dxa"/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r>
                    <w:rPr>
                      <w:rFonts w:hint="eastAsia"/>
                    </w:rPr>
                    <w:t>严格控制</w:t>
                  </w:r>
                </w:p>
                <w:p>
                  <w:r>
                    <w:rPr>
                      <w:rFonts w:hint="eastAsia"/>
                    </w:rPr>
                    <w:t>防止火灾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r>
                    <w:rPr>
                      <w:rFonts w:hint="eastAsia"/>
                    </w:rPr>
                    <w:t>火灾事故为零</w:t>
                  </w:r>
                </w:p>
              </w:tc>
              <w:tc>
                <w:tcPr>
                  <w:tcW w:w="470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制订《应急和响应控制程序》；</w:t>
                  </w:r>
                </w:p>
                <w:p>
                  <w:r>
                    <w:rPr>
                      <w:rFonts w:hint="eastAsia"/>
                    </w:rPr>
                    <w:t>制订《火灾应急预案》；</w:t>
                  </w:r>
                </w:p>
                <w:p>
                  <w:r>
                    <w:rPr>
                      <w:rFonts w:hint="eastAsia"/>
                    </w:rPr>
                    <w:t>加强日常监督检查；</w:t>
                  </w:r>
                </w:p>
                <w:p>
                  <w:r>
                    <w:rPr>
                      <w:rFonts w:hint="eastAsia"/>
                    </w:rPr>
                    <w:t>在主要控制点配备消防设施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7" w:hRule="atLeast"/>
                <w:jc w:val="center"/>
              </w:trPr>
              <w:tc>
                <w:tcPr>
                  <w:tcW w:w="409" w:type="dxa"/>
                  <w:vAlign w:val="center"/>
                </w:tcPr>
                <w:p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r>
                    <w:rPr>
                      <w:rFonts w:hint="eastAsia"/>
                    </w:rPr>
                    <w:t>固体废弃物的排放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r>
                    <w:rPr>
                      <w:rFonts w:hint="eastAsia"/>
                    </w:rPr>
                    <w:t>固体废物分类归集，统一处理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r>
                    <w:rPr>
                      <w:rFonts w:hint="eastAsia"/>
                    </w:rPr>
                    <w:t>达标率100%</w:t>
                  </w:r>
                </w:p>
              </w:tc>
              <w:tc>
                <w:tcPr>
                  <w:tcW w:w="470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1.坚持文明生产，建立管理制度，各部门明确负责人；</w:t>
                  </w:r>
                </w:p>
                <w:p>
                  <w:r>
                    <w:rPr>
                      <w:rFonts w:hint="eastAsia"/>
                    </w:rPr>
                    <w:t>2.购买垃圾箱，分别放置可回收、不可回收固体废弃物；</w:t>
                  </w:r>
                </w:p>
                <w:p>
                  <w:r>
                    <w:rPr>
                      <w:rFonts w:hint="eastAsia"/>
                    </w:rPr>
                    <w:t>3、固体废物交有资质的单位回收处置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4" w:hRule="atLeast"/>
                <w:jc w:val="center"/>
              </w:trPr>
              <w:tc>
                <w:tcPr>
                  <w:tcW w:w="409" w:type="dxa"/>
                  <w:vAlign w:val="center"/>
                </w:tcPr>
                <w:p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r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r>
                    <w:rPr>
                      <w:rFonts w:hint="eastAsia"/>
                    </w:rPr>
                    <w:t>达标排放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r>
                    <w:rPr>
                      <w:rFonts w:hint="eastAsia"/>
                    </w:rPr>
                    <w:t>工业企业厂界噪声标（G</w:t>
                  </w:r>
                  <w:r>
                    <w:t>B12348-2008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70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1、合理安排生产工序,保持设备正常运转</w:t>
                  </w:r>
                </w:p>
                <w:p>
                  <w:r>
                    <w:rPr>
                      <w:rFonts w:hint="eastAsia"/>
                    </w:rPr>
                    <w:t>2、加强设备维护保养；</w:t>
                  </w:r>
                </w:p>
                <w:p>
                  <w:r>
                    <w:rPr>
                      <w:rFonts w:hint="eastAsia"/>
                    </w:rPr>
                    <w:t>3、必要的隔噪措施和生产区域封闭。</w:t>
                  </w:r>
                </w:p>
              </w:tc>
              <w:tc>
                <w:tcPr>
                  <w:tcW w:w="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</w:tbl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>
              <w:rPr>
                <w:rFonts w:hAnsiTheme="minor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查有：《环境因素识别、评价和更新控制程序》。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行政人事部主要统筹负责识别评价相关的环境因素及危险源。根据办公区、生产过程、检验过程、采购过程、销售过程等环节识别，由品保部汇总。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“环境因素辨识和评价登记表”，识别考虑了正常、异常、紧急，过去、现在、未来三种时态。涉及行政人事部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采取多因子评价法进行了评价，查到“重要环境因素清单”，评价出噪音排放、潜在火灾、固废排放为重要环境因素。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经评价行政人事部的重要环境因素为：日常办公过程中固废排放、潜在火灾的发生。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>
              <w:rPr>
                <w:rFonts w:hAnsiTheme="minor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公司制定并实施了编制并实施了环境控制程序和管理制度，有关的文件有《管理运行控制程序》、《节约用水管理规定》、《垃圾管理规定》、《消防控制程序》《应急预案》等。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企业注册地址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江西省赣州经济技术开发区工业园</w:t>
            </w:r>
            <w:r>
              <w:rPr>
                <w:rFonts w:hAnsiTheme="minorEastAsia" w:eastAsiaTheme="minorEastAsia"/>
                <w:sz w:val="24"/>
                <w:szCs w:val="24"/>
              </w:rPr>
              <w:t>，经营地址：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江西省赣州市经济技术开发区香江大道168号5栋，</w:t>
            </w:r>
            <w:r>
              <w:rPr>
                <w:rFonts w:hAnsiTheme="minorEastAsia" w:eastAsiaTheme="minorEastAsia"/>
                <w:sz w:val="24"/>
                <w:szCs w:val="24"/>
              </w:rPr>
              <w:t>公司四周是其他企业，无重大敏感区，根据体系运行的需要设置了生产区、办公区。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行政人事部定期组织环保和安全知识培训，员工具备了基本的环保和职业健康安全防护意识。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用电：照明、空调、设备运行——人走关灯、断电、营业温度适宜（冬季≤23℃，夏季冬季≥25℃）；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用水：不跑冒滴漏，随手关水龙头；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szCs w:val="21"/>
              </w:rPr>
              <w:t>废水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生活污水直接排入市政污水管网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废气：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无废气产生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</w:t>
            </w:r>
            <w:r>
              <w:rPr>
                <w:rFonts w:hint="eastAsia"/>
                <w:szCs w:val="21"/>
                <w:lang w:val="en-US" w:eastAsia="zh-CN"/>
              </w:rPr>
              <w:t>无噪音产生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■消防：有消防栓、灭火器（干粉、水基）；</w:t>
            </w:r>
            <w:r>
              <w:rPr>
                <w:rFonts w:hint="eastAsia" w:ascii="宋体" w:hAnsi="宋体"/>
                <w:color w:val="auto"/>
                <w:szCs w:val="21"/>
              </w:rPr>
              <w:t>对消防设施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定期</w:t>
            </w:r>
            <w:r>
              <w:rPr>
                <w:rFonts w:hint="eastAsia" w:ascii="宋体" w:hAnsi="宋体"/>
                <w:color w:val="auto"/>
                <w:szCs w:val="21"/>
              </w:rPr>
              <w:t>检查的记录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■特种设备的使用：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储气罐，已检测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行政人事部垃圾主要包含可回收垃圾、硒鼓、废纸。公司配置了垃圾箱，行政人事部统一处理。对可回收的固体废弃物，一部分由厂家回收，厂家不回收的公司统一回收再利用或由物资回收公司处理，不可回收的废弃物由环卫部门处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bookmarkStart w:id="1" w:name="_GoBack"/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为满足环境体系的运行，公司投入主要是安全教育培训、环保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</w:rPr>
              <w:t>/消防设施费用、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劳保用品等，运行至今支出约</w:t>
            </w:r>
            <w: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Theme="minorEastAsia"/>
                <w:color w:val="auto"/>
                <w:sz w:val="24"/>
                <w:szCs w:val="24"/>
              </w:rPr>
              <w:t>万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余元</w:t>
            </w:r>
            <w:bookmarkEnd w:id="1"/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巡视查看现场办公区域配备了灭火器等消防设施，状况正常。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提供了紧急事故预防应急办法，制定了预防措施和应急措施。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  <w:szCs w:val="21"/>
                <w:lang w:val="en-GB"/>
              </w:rPr>
              <w:t>编制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应急演练评审表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评审结论：按照计划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日进行《消防应急预案》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演习，演练内容，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日员工正在上班，突然车间火警铃响起，公司第一时间报火警，并组织员工疏散自救，全体员工在规定时间内通过各个安全出口逃生。从各个安全出口通道逃生至指定位置后，各区域负责人及时清点人数，并向现场指挥报告；仓库需安排专职一人在确认人员全部疏散后，降下防火卷帘。生产部各车间楼层需要安排专职一人在确认人员全部疏散后，关闭防火门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物资准备和人员培训情况，演练物品：</w:t>
            </w:r>
            <w:r>
              <w:rPr>
                <w:rFonts w:hint="eastAsia" w:ascii="宋体" w:hAnsi="宋体" w:cs="宋体"/>
                <w:szCs w:val="21"/>
              </w:rPr>
              <w:t>火盆、柴油、点火棒、灭火器、秒表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，进入现场前由安全员讲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宋体"/>
                <w:szCs w:val="21"/>
                <w:lang w:val="en-GB"/>
              </w:rPr>
              <w:t>发生处理事项要领和个人安全防护要求。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提供了应急设备器具台账，出示消防演习方案，明确了活动时间、地点、演习科目、参加人数、现场布置示意图、紧急疏散示意图、义务消防队成员及职责分工、联系方式等内容，内容具体清楚。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应急演练后对应急预案进行了评审，</w:t>
            </w:r>
            <w:r>
              <w:rPr>
                <w:rFonts w:hint="eastAsia" w:ascii="楷体_GB2312"/>
                <w:szCs w:val="21"/>
              </w:rPr>
              <w:t>效果评价：本次演习组织有序，计划灭火演练</w:t>
            </w:r>
            <w:r>
              <w:rPr>
                <w:rFonts w:hint="eastAsia" w:ascii="楷体_GB2312"/>
                <w:szCs w:val="21"/>
                <w:lang w:val="en-US" w:eastAsia="zh-CN"/>
              </w:rPr>
              <w:t>45</w:t>
            </w:r>
            <w:r>
              <w:rPr>
                <w:rFonts w:hint="eastAsia" w:ascii="楷体_GB2312"/>
                <w:szCs w:val="21"/>
              </w:rPr>
              <w:t>分钟，每人实操使用灭火器灭火，效果良好。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逃生演练：员工熟悉了逃生路线及集合地点，初步达到预定目标。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Cs w:val="24"/>
              </w:rPr>
              <w:t>自体系运行以来尚未发生紧急情况。</w:t>
            </w:r>
          </w:p>
          <w:p>
            <w:pPr>
              <w:spacing w:line="360" w:lineRule="atLeast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设备工程部参与了此次演练。</w:t>
            </w:r>
          </w:p>
        </w:tc>
        <w:tc>
          <w:tcPr>
            <w:tcW w:w="1585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eastAsiaTheme="minorEastAsia"/>
        </w:rPr>
      </w:pPr>
    </w:p>
    <w:p>
      <w:pPr>
        <w:pStyle w:val="4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p>
      <w:pPr>
        <w:pStyle w:val="4"/>
        <w:rPr>
          <w:rFonts w:eastAsiaTheme="minor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97037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1B59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41F8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399A"/>
    <w:rsid w:val="002D41FB"/>
    <w:rsid w:val="002E0587"/>
    <w:rsid w:val="002E1E1D"/>
    <w:rsid w:val="002E7E5D"/>
    <w:rsid w:val="002F5B15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7501F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E3112"/>
    <w:rsid w:val="003F20A5"/>
    <w:rsid w:val="003F5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0535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4A3D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590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37FE3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1CCB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D3DF2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3F17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4987"/>
    <w:rsid w:val="00AA7F40"/>
    <w:rsid w:val="00AB05B9"/>
    <w:rsid w:val="00AB41FC"/>
    <w:rsid w:val="00AB7D2F"/>
    <w:rsid w:val="00AD6F34"/>
    <w:rsid w:val="00AF0AAB"/>
    <w:rsid w:val="00AF156F"/>
    <w:rsid w:val="00AF49F9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83BC2"/>
    <w:rsid w:val="00E910C0"/>
    <w:rsid w:val="00E96916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55ED2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28E24BF"/>
    <w:rsid w:val="03282A7B"/>
    <w:rsid w:val="097B4631"/>
    <w:rsid w:val="108219C2"/>
    <w:rsid w:val="10D92D5A"/>
    <w:rsid w:val="11BE19F8"/>
    <w:rsid w:val="140B71B5"/>
    <w:rsid w:val="143A0727"/>
    <w:rsid w:val="1B6C6A3E"/>
    <w:rsid w:val="20A56492"/>
    <w:rsid w:val="21495416"/>
    <w:rsid w:val="38DB4B41"/>
    <w:rsid w:val="39F52ADD"/>
    <w:rsid w:val="43582F9D"/>
    <w:rsid w:val="4C5163BD"/>
    <w:rsid w:val="4EC17F0A"/>
    <w:rsid w:val="50F574B7"/>
    <w:rsid w:val="55010794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470</Words>
  <Characters>2684</Characters>
  <Lines>22</Lines>
  <Paragraphs>6</Paragraphs>
  <TotalTime>4</TotalTime>
  <ScaleCrop>false</ScaleCrop>
  <LinksUpToDate>false</LinksUpToDate>
  <CharactersWithSpaces>3148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2021-07-08T06:32:07Z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CD77F3D642D94C16AD0510752471FD6F</vt:lpwstr>
  </property>
</Properties>
</file>