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A6A6A6" w:themeColor="background1" w:themeShade="A6"/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研创光电科技(赣州)有限公司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江西省赣州市经济技术开发区香江大道168号5栋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刘定生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18370710541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詹发松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0448-2020-E-2021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8" w:name="_GoBack"/>
            <w:r>
              <w:rPr>
                <w:rFonts w:hint="eastAsia"/>
                <w:sz w:val="20"/>
              </w:rPr>
              <w:t>陶瓷共烧基板的生产</w:t>
            </w:r>
            <w:bookmarkEnd w:id="18"/>
            <w:r>
              <w:rPr>
                <w:rFonts w:hint="eastAsia"/>
                <w:sz w:val="20"/>
              </w:rPr>
              <w:t>所涉及的相关环境管理活动。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19.01.01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2021年07月05日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2021年07月06日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-1270</wp:posOffset>
                  </wp:positionV>
                  <wp:extent cx="798195" cy="379095"/>
                  <wp:effectExtent l="0" t="0" r="1905" b="190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189"/>
        <w:gridCol w:w="1021"/>
        <w:gridCol w:w="661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79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7639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13：30-15：30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  <w:r>
              <w:rPr>
                <w:rFonts w:hint="eastAsia" w:ascii="宋体" w:hAnsi="宋体" w:cs="Arial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含财务）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EMS:4.1理解组织及其环境、4.2理解相关方的需求和期望、4.3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环境目标及其实现的策划、E7.1资源总则、7.4信息交流.、9.3管理评审、10.1改进、10.3持续改进，</w:t>
            </w:r>
          </w:p>
          <w:p>
            <w:pPr>
              <w:pStyle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21"/>
                <w:szCs w:val="21"/>
              </w:rPr>
              <w:t>阶段问题验证</w:t>
            </w:r>
          </w:p>
          <w:p>
            <w:pPr>
              <w:pStyle w:val="9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行政人事部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5.3组织的岗位、职责和权限、6.2.1环境目标、6.2.2实现环境目标措施的策划，6.1.2环境因素的识别与评价、8.1运行策划和控制、8.2应急准备和响应,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15：30-17：00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</w:rPr>
              <w:t>品保部</w:t>
            </w:r>
          </w:p>
        </w:tc>
        <w:tc>
          <w:tcPr>
            <w:tcW w:w="6618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6.1.2、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环境因素、6.1.3合规义务、6.1.4措施的策划、9.1监视、测量、分析和评价（9.1.1总则、9.1.2合规性评价）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运行策划和控制，8.2应急准备和响应，9.2 内部审核、10.2不符合/事件和纠正措施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7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08：00-10：00</w:t>
            </w: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生产部及现场</w:t>
            </w:r>
          </w:p>
        </w:tc>
        <w:tc>
          <w:tcPr>
            <w:tcW w:w="6618" w:type="dxa"/>
            <w:vAlign w:val="center"/>
          </w:tcPr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b/>
                <w:bCs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</w:rPr>
              <w:t>设备工程部</w:t>
            </w:r>
          </w:p>
        </w:tc>
        <w:tc>
          <w:tcPr>
            <w:tcW w:w="6618" w:type="dxa"/>
            <w:vAlign w:val="top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运行策划和控制，8.2应急准备和响应，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10：00-11：30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研发</w:t>
            </w:r>
            <w:r>
              <w:rPr>
                <w:rFonts w:hint="eastAsia" w:ascii="宋体" w:hAnsi="宋体" w:cs="宋体"/>
                <w:b/>
                <w:szCs w:val="24"/>
              </w:rPr>
              <w:t>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运行策划和控制，8.2应急准备和响应，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6618" w:type="dxa"/>
            <w:vAlign w:val="center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7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639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3422CF"/>
    <w:rsid w:val="0C634E8D"/>
    <w:rsid w:val="0DED5080"/>
    <w:rsid w:val="321F7DB8"/>
    <w:rsid w:val="48ED58A9"/>
    <w:rsid w:val="609E2624"/>
    <w:rsid w:val="692B555B"/>
    <w:rsid w:val="6DCB2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30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2021-08-04T02:27:14Z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AB3C82232B934E87B38B84D9F38C1649</vt:lpwstr>
  </property>
</Properties>
</file>