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研创光电科技（赣州）有限公司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江西省赣州市经济技术开发区香江大道168号5栋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刘定生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18370710541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341000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1045558250@QQ.Com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0614-2021-Q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bookmarkStart w:id="17" w:name="_GoBack"/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陶瓷模组的设计、生产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19.01.01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2021年07月08日 上午至2021年07月08日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17621168040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强兴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19.01.01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15353547891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-3810</wp:posOffset>
                  </wp:positionV>
                  <wp:extent cx="593725" cy="281940"/>
                  <wp:effectExtent l="0" t="0" r="3175" b="10160"/>
                  <wp:wrapNone/>
                  <wp:docPr id="2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cs="Arial"/>
                <w:sz w:val="21"/>
                <w:szCs w:val="21"/>
              </w:rPr>
              <w:t>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cs="Arial"/>
                <w:sz w:val="21"/>
                <w:szCs w:val="21"/>
              </w:rPr>
              <w:t>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82" w:firstLineChars="200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4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Arial"/>
                <w:sz w:val="21"/>
                <w:szCs w:val="21"/>
              </w:rPr>
              <w:t>202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cs="Arial"/>
                <w:sz w:val="21"/>
                <w:szCs w:val="21"/>
              </w:rPr>
              <w:t>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cs="Arial"/>
                <w:sz w:val="21"/>
                <w:szCs w:val="21"/>
              </w:rPr>
              <w:t>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管理层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Q:4.1理解组织及其环境、4.2理解相关方的需求和期望、4.3 确定管理体系的范围、4.4质量/环境/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安全方针、5.3组织的岗位、职责和权限、6.1应对风险和机遇的措施、6.2质量/环境/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安全目标及其实现的策划、Q6.3变更的策划、7.1.1资源总则、7.4沟通/信息交流、9.3管理评审、10.1改进、10.3持续改进，</w:t>
            </w:r>
          </w:p>
          <w:p>
            <w:pPr>
              <w:spacing w:line="320" w:lineRule="exact"/>
              <w:ind w:firstLine="396" w:firstLineChars="200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国家/地方监督抽查情况；顾客满意、相关方投诉及处理情况；一阶段问题验证，</w:t>
            </w:r>
          </w:p>
          <w:p>
            <w:pPr>
              <w:pStyle w:val="9"/>
              <w:ind w:firstLine="0" w:firstLineChars="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/>
                <w:b/>
                <w:szCs w:val="24"/>
              </w:rPr>
              <w:t>行政人事部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 5.3组织的岗位、职责和权限、6.2质量目标、7.1.2人员、7.1.6组织知识、7.2能力、7.3意识、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、9.1.3分析与评价、 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hint="eastAsia" w:ascii="宋体"/>
                <w:b/>
                <w:szCs w:val="24"/>
              </w:rPr>
              <w:t>研发</w:t>
            </w:r>
            <w:r>
              <w:rPr>
                <w:rFonts w:hint="eastAsia" w:ascii="宋体" w:hAnsi="宋体" w:cs="宋体"/>
                <w:b/>
                <w:szCs w:val="24"/>
              </w:rPr>
              <w:t>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QMS:5.3组织的岗位、职责和权限、6.2质量目标、8.1运行策划和控制、8.3产品和服务的设计和开发、8.5.1生产和服务提供的控制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szCs w:val="24"/>
              </w:rPr>
              <w:t>品保部</w:t>
            </w:r>
          </w:p>
        </w:tc>
        <w:tc>
          <w:tcPr>
            <w:tcW w:w="5823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QMS:5.3组织的岗位、职责和权限、6.2质量目标、7.1.5监视和测量资源、8.6产品和服务的放行、8.7不合格输出的控制，7.5.1形成文件的信息总则、7.5.2形成文件的信息的创建和更新、7.5.3形成文件的信息的控制、9.2 内部审核、10.2不合格和纠正措施 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default" w:asci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cs="Arial"/>
                <w:sz w:val="21"/>
                <w:szCs w:val="21"/>
              </w:rPr>
              <w:t>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cs="Arial"/>
                <w:sz w:val="21"/>
                <w:szCs w:val="21"/>
              </w:rPr>
              <w:t>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/>
                <w:b/>
                <w:bCs/>
                <w:sz w:val="21"/>
                <w:szCs w:val="21"/>
              </w:rPr>
              <w:t>业务部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QMS:5.3组织的岗位、职责和权限、6.2质量目标、8.2产品和服务的要求、8.5.3顾客或外部供方的财产、9.1.2顾客满意、8.5.5交付后的活动、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/>
                <w:b/>
                <w:bCs/>
                <w:sz w:val="21"/>
                <w:szCs w:val="21"/>
              </w:rPr>
              <w:t>资材部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QMS:5.3组织的岗位、职责和权限、6.2质量目标、8.4外部提供过程、产品和服务的控制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生产部及现场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QMS:5.3组织的岗位、职责和权限、6.2质量目标、、7.1.3基础设施、7.1.4过程运行环境、8.1运行策划和控制、8.5.1生产和服务提供的控制、8.5.2产品标识和可追朔性、8.5.4产品防护、8.5.6生产和服务提供的更改控制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Arial"/>
                <w:sz w:val="21"/>
                <w:szCs w:val="21"/>
              </w:rPr>
              <w:t>202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cs="Arial"/>
                <w:sz w:val="21"/>
                <w:szCs w:val="21"/>
              </w:rPr>
              <w:t>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cs="Arial"/>
                <w:sz w:val="21"/>
                <w:szCs w:val="21"/>
              </w:rPr>
              <w:t>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lef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20" w:firstLineChars="20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</w:t>
            </w:r>
            <w:r>
              <w:rPr>
                <w:rFonts w:ascii="宋体" w:hAnsi="宋体" w:cs="Arial"/>
                <w:sz w:val="21"/>
                <w:szCs w:val="21"/>
              </w:rPr>
              <w:t>MS</w:t>
            </w:r>
            <w:r>
              <w:rPr>
                <w:rFonts w:hint="eastAsia" w:ascii="宋体" w:hAnsi="宋体" w:cs="Arial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59799A"/>
    <w:rsid w:val="7C0501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2021-07-07T07:04:38Z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84DEBC36A5EE4D64A748010A9BC0D3B6</vt:lpwstr>
  </property>
</Properties>
</file>