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成都脉通管业有限公司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现场查看，行政部对外来文件的识别不够充分，保存的法律法规清单未识别《中华人民共和国民法典》。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不符合标准</w:t>
            </w:r>
            <w:r>
              <w:rPr>
                <w:rFonts w:ascii="方正仿宋简体" w:eastAsia="方正仿宋简体"/>
                <w:b/>
              </w:rPr>
              <w:t>7.5.3</w:t>
            </w:r>
            <w:r>
              <w:rPr>
                <w:rFonts w:hint="eastAsia" w:ascii="方正仿宋简体" w:eastAsia="方正仿宋简体"/>
                <w:b/>
              </w:rPr>
              <w:t>条款，对于组织 确定 的策划和 运行质量管理体系 所必需的 来自外部成文信息 ，组织应进行适当识别，并予以控制 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 xml:space="preserve"> 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9C5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2021-06-29T07:30:41Z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E4AD2A648491471C87DA028597CAB210</vt:lpwstr>
  </property>
</Properties>
</file>