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sz w:val="24"/>
          <w:szCs w:val="24"/>
        </w:rPr>
      </w:pPr>
      <w:r>
        <w:rPr>
          <w:rFonts w:hint="eastAsia"/>
          <w:sz w:val="24"/>
          <w:szCs w:val="24"/>
        </w:rPr>
        <w:t>受审核部门：</w:t>
      </w:r>
      <w:r>
        <w:rPr>
          <w:rFonts w:hint="eastAsia" w:ascii="宋体" w:hAnsi="宋体" w:cs="Times New Roman"/>
          <w:sz w:val="24"/>
          <w:szCs w:val="22"/>
        </w:rPr>
        <w:t>管理层、</w:t>
      </w:r>
      <w:r>
        <w:rPr>
          <w:rFonts w:hint="eastAsia" w:ascii="宋体" w:hAnsi="宋体" w:cs="Times New Roman"/>
          <w:sz w:val="24"/>
          <w:szCs w:val="22"/>
          <w:lang w:eastAsia="zh-CN"/>
        </w:rPr>
        <w:t>总经办、市场部、</w:t>
      </w:r>
      <w:r>
        <w:rPr>
          <w:rFonts w:hint="eastAsia" w:ascii="宋体" w:hAnsi="宋体" w:cs="Times New Roman"/>
          <w:sz w:val="24"/>
          <w:szCs w:val="22"/>
        </w:rPr>
        <w:t>生产部</w:t>
      </w:r>
      <w:r>
        <w:rPr>
          <w:rFonts w:hint="eastAsia" w:ascii="宋体" w:hAnsi="宋体" w:cs="Times New Roman"/>
          <w:sz w:val="24"/>
          <w:szCs w:val="22"/>
          <w:lang w:eastAsia="zh-CN"/>
        </w:rPr>
        <w:t>、质量</w:t>
      </w:r>
      <w:r>
        <w:rPr>
          <w:rFonts w:hint="eastAsia" w:ascii="宋体" w:hAnsi="宋体" w:cs="Times New Roman"/>
          <w:sz w:val="24"/>
          <w:szCs w:val="22"/>
          <w:lang w:val="en-US" w:eastAsia="zh-CN"/>
        </w:rPr>
        <w:t xml:space="preserve">部、财务部， 陪同人员：冯霞，   </w:t>
      </w:r>
    </w:p>
    <w:p>
      <w:pPr>
        <w:spacing w:line="480" w:lineRule="exact"/>
        <w:jc w:val="left"/>
        <w:rPr>
          <w:rFonts w:hint="default" w:ascii="隶书" w:hAnsi="宋体" w:eastAsia="宋体"/>
          <w:bCs/>
          <w:color w:val="000000"/>
          <w:sz w:val="36"/>
          <w:szCs w:val="36"/>
          <w:lang w:val="en-US" w:eastAsia="zh-CN"/>
        </w:rPr>
      </w:pPr>
      <w:r>
        <w:rPr>
          <w:rFonts w:hint="eastAsia" w:ascii="宋体" w:hAnsi="宋体"/>
          <w:sz w:val="24"/>
          <w:szCs w:val="22"/>
        </w:rPr>
        <w:t>审核</w:t>
      </w:r>
      <w:r>
        <w:rPr>
          <w:rFonts w:hint="eastAsia"/>
          <w:sz w:val="24"/>
          <w:szCs w:val="24"/>
        </w:rPr>
        <w:t>员：</w:t>
      </w:r>
      <w:r>
        <w:rPr>
          <w:rFonts w:hint="eastAsia"/>
          <w:sz w:val="24"/>
          <w:szCs w:val="24"/>
          <w:lang w:eastAsia="zh-CN"/>
        </w:rPr>
        <w:t>余家龙、</w:t>
      </w:r>
      <w:r>
        <w:rPr>
          <w:rFonts w:hint="eastAsia"/>
          <w:sz w:val="24"/>
          <w:szCs w:val="24"/>
          <w:lang w:val="en-US" w:eastAsia="zh-CN"/>
        </w:rPr>
        <w:t>陈伟</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22日</w:t>
      </w:r>
    </w:p>
    <w:tbl>
      <w:tblPr>
        <w:tblStyle w:val="7"/>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14"/>
        <w:gridCol w:w="9557"/>
        <w:gridCol w:w="22"/>
        <w:gridCol w:w="1003"/>
        <w:gridCol w:w="829"/>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5"/>
            <w:shd w:val="clear" w:color="auto" w:fill="E6E6E6"/>
            <w:vAlign w:val="center"/>
          </w:tcPr>
          <w:p>
            <w:pPr>
              <w:spacing w:line="0" w:lineRule="atLeast"/>
              <w:jc w:val="center"/>
              <w:rPr>
                <w:rFonts w:hint="eastAsia" w:ascii="宋体" w:hAnsi="宋体" w:eastAsia="宋体"/>
                <w:szCs w:val="21"/>
                <w:lang w:eastAsia="zh-CN"/>
              </w:rPr>
            </w:pPr>
            <w:r>
              <w:rPr>
                <w:rFonts w:hint="eastAsia"/>
                <w:sz w:val="24"/>
                <w:szCs w:val="24"/>
                <w:lang w:eastAsia="zh-CN"/>
              </w:rPr>
              <w:t>余家龙、</w:t>
            </w:r>
            <w:r>
              <w:rPr>
                <w:rFonts w:hint="eastAsia"/>
                <w:sz w:val="24"/>
                <w:szCs w:val="24"/>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gridSpan w:val="2"/>
          </w:tcPr>
          <w:p>
            <w:pPr>
              <w:spacing w:line="400" w:lineRule="exact"/>
              <w:ind w:firstLine="420" w:firstLineChars="200"/>
              <w:rPr>
                <w:rFonts w:asciiTheme="minorEastAsia" w:hAnsiTheme="minorEastAsia" w:eastAsiaTheme="minorEastAsia" w:cstheme="minorEastAsia"/>
                <w:szCs w:val="21"/>
              </w:rPr>
            </w:pPr>
            <w:r>
              <w:rPr>
                <w:rFonts w:hint="eastAsia" w:ascii="宋体" w:hAnsi="宋体"/>
                <w:szCs w:val="21"/>
              </w:rPr>
              <w:t>成都市海通药业有限公司成立于2010年，由深圳市海普瑞药业集团股份有限公司与成都通德药业有限公司（原成都制药三厂）共同投资建立，注册资本为4000万元，是一家集研发、生产制造、销售于一体的国家级高新技术企业。目前经营情况良好。</w:t>
            </w:r>
          </w:p>
          <w:p>
            <w:pPr>
              <w:spacing w:line="400" w:lineRule="exact"/>
              <w:ind w:firstLine="420" w:firstLineChars="200"/>
              <w:jc w:val="left"/>
              <w:rPr>
                <w:rFonts w:hint="eastAsia" w:ascii="宋体" w:hAnsi="宋体" w:cs="Times New Roman"/>
                <w:szCs w:val="21"/>
              </w:rPr>
            </w:pPr>
            <w:r>
              <w:rPr>
                <w:rFonts w:hint="eastAsia" w:asciiTheme="minorEastAsia" w:hAnsiTheme="minorEastAsia" w:eastAsiaTheme="minorEastAsia" w:cstheme="minorEastAsia"/>
                <w:szCs w:val="21"/>
              </w:rPr>
              <w:t>查见企业营业执照副本</w:t>
            </w:r>
            <w:r>
              <w:rPr>
                <w:rFonts w:hint="eastAsia" w:ascii="宋体" w:hAnsi="宋体" w:cs="Times New Roman"/>
                <w:szCs w:val="21"/>
                <w:lang w:eastAsia="zh-CN"/>
              </w:rPr>
              <w:t>、</w:t>
            </w:r>
            <w:r>
              <w:rPr>
                <w:rFonts w:hint="eastAsia" w:ascii="宋体" w:hAnsi="宋体" w:cs="Times New Roman"/>
                <w:szCs w:val="21"/>
                <w:lang w:val="en-US" w:eastAsia="zh-CN"/>
              </w:rPr>
              <w:t>生产许可证</w:t>
            </w:r>
            <w:r>
              <w:rPr>
                <w:rFonts w:hint="eastAsia" w:ascii="宋体" w:hAnsi="宋体" w:cs="Times New Roman"/>
                <w:szCs w:val="21"/>
              </w:rPr>
              <w:t>，企业经营范围包含认证产品，具备有效资格，详见</w:t>
            </w:r>
            <w:r>
              <w:rPr>
                <w:rFonts w:hint="eastAsia" w:ascii="宋体" w:hAnsi="宋体" w:cs="Times New Roman"/>
                <w:szCs w:val="21"/>
                <w:lang w:val="en-US" w:eastAsia="zh-CN"/>
              </w:rPr>
              <w:t>附件</w:t>
            </w:r>
            <w:r>
              <w:rPr>
                <w:rFonts w:hint="eastAsia" w:ascii="宋体" w:hAnsi="宋体" w:cs="Times New Roman"/>
                <w:szCs w:val="21"/>
              </w:rPr>
              <w:t>。</w:t>
            </w:r>
          </w:p>
          <w:p>
            <w:pPr>
              <w:spacing w:line="400" w:lineRule="exact"/>
              <w:ind w:firstLine="420" w:firstLineChars="200"/>
              <w:jc w:val="left"/>
              <w:rPr>
                <w:rFonts w:hint="eastAsia" w:ascii="宋体" w:hAnsi="宋体" w:cs="Times New Roman"/>
                <w:szCs w:val="21"/>
                <w:lang w:eastAsia="zh-CN"/>
              </w:rPr>
            </w:pPr>
            <w:r>
              <w:rPr>
                <w:rFonts w:hint="eastAsia" w:ascii="宋体" w:hAnsi="宋体" w:cs="Times New Roman"/>
                <w:szCs w:val="21"/>
              </w:rPr>
              <w:t>该公司目前成立了</w:t>
            </w:r>
            <w:r>
              <w:rPr>
                <w:rFonts w:hint="eastAsia" w:ascii="宋体" w:hAnsi="宋体" w:cs="Times New Roman"/>
                <w:szCs w:val="21"/>
                <w:lang w:val="en-US" w:eastAsia="zh-CN"/>
              </w:rPr>
              <w:t>五</w:t>
            </w:r>
            <w:r>
              <w:rPr>
                <w:rFonts w:hint="eastAsia" w:ascii="宋体" w:hAnsi="宋体" w:cs="Times New Roman"/>
                <w:szCs w:val="21"/>
              </w:rPr>
              <w:t>个部门：</w:t>
            </w:r>
            <w:r>
              <w:rPr>
                <w:rFonts w:hint="eastAsia" w:ascii="宋体" w:hAnsi="宋体" w:cs="Times New Roman"/>
                <w:szCs w:val="21"/>
                <w:lang w:eastAsia="zh-CN"/>
              </w:rPr>
              <w:t>总经办、市场部、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经现场审核核实：公司位于</w:t>
            </w:r>
            <w:bookmarkStart w:id="0" w:name="生产地址"/>
            <w:r>
              <w:t>四川省成都市温江区海峡两岸科技产业开发园柳台大道222号</w:t>
            </w:r>
            <w:bookmarkEnd w:id="0"/>
            <w:r>
              <w:rPr>
                <w:rFonts w:hint="eastAsia" w:ascii="宋体" w:hAnsi="宋体"/>
                <w:szCs w:val="21"/>
              </w:rPr>
              <w:t>，与任务书一致。</w:t>
            </w:r>
          </w:p>
          <w:p>
            <w:pPr>
              <w:rPr>
                <w:rFonts w:ascii="宋体" w:hAnsi="宋体"/>
                <w:szCs w:val="21"/>
              </w:rPr>
            </w:pPr>
            <w:r>
              <w:rPr>
                <w:rFonts w:hint="eastAsia" w:ascii="宋体" w:hAnsi="宋体"/>
                <w:szCs w:val="21"/>
              </w:rPr>
              <w:t>经确认，认证范围为：</w:t>
            </w:r>
            <w:bookmarkStart w:id="1" w:name="审核范围"/>
          </w:p>
          <w:bookmarkEnd w:id="1"/>
          <w:p>
            <w:pPr>
              <w:spacing w:line="400" w:lineRule="exact"/>
              <w:jc w:val="left"/>
              <w:rPr>
                <w:rFonts w:ascii="宋体" w:hAnsi="宋体"/>
                <w:szCs w:val="21"/>
                <w:highlight w:val="none"/>
              </w:rPr>
            </w:pPr>
            <w:r>
              <w:rPr>
                <w:rFonts w:hint="eastAsia" w:ascii="宋体" w:hAnsi="宋体"/>
                <w:szCs w:val="21"/>
              </w:rPr>
              <w:t>E：</w:t>
            </w:r>
            <w:r>
              <w:rPr>
                <w:rFonts w:hint="eastAsia" w:ascii="宋体" w:hAnsi="宋体"/>
                <w:szCs w:val="21"/>
                <w:lang w:eastAsia="zh-CN"/>
              </w:rPr>
              <w:t>资质范围内小容量注射剂的生产</w:t>
            </w:r>
            <w:r>
              <w:rPr>
                <w:rFonts w:hint="eastAsia" w:ascii="宋体" w:hAnsi="宋体"/>
                <w:szCs w:val="21"/>
              </w:rPr>
              <w:t>所涉及场所的相关环境管理活动</w:t>
            </w:r>
            <w:r>
              <w:rPr>
                <w:rFonts w:hint="eastAsia" w:ascii="宋体" w:hAnsi="宋体"/>
                <w:szCs w:val="21"/>
                <w:lang w:eastAsia="zh-CN"/>
              </w:rPr>
              <w:t>，</w:t>
            </w:r>
            <w:r>
              <w:rPr>
                <w:rFonts w:hint="eastAsia" w:ascii="宋体" w:hAnsi="宋体"/>
                <w:szCs w:val="21"/>
              </w:rPr>
              <w:t>与申</w:t>
            </w:r>
            <w:r>
              <w:rPr>
                <w:rFonts w:hint="eastAsia" w:ascii="宋体" w:hAnsi="宋体"/>
                <w:szCs w:val="21"/>
                <w:highlight w:val="none"/>
              </w:rPr>
              <w:t>请范围一致。</w:t>
            </w:r>
          </w:p>
          <w:p>
            <w:pPr>
              <w:spacing w:line="400" w:lineRule="exact"/>
              <w:ind w:firstLine="210" w:firstLineChars="100"/>
              <w:jc w:val="left"/>
              <w:rPr>
                <w:rFonts w:hint="eastAsia" w:ascii="宋体" w:hAnsi="宋体"/>
                <w:szCs w:val="21"/>
                <w:highlight w:val="none"/>
                <w:lang w:val="en-US" w:eastAsia="zh-CN"/>
              </w:rPr>
            </w:pPr>
            <w:r>
              <w:rPr>
                <w:rFonts w:hint="eastAsia" w:ascii="宋体" w:hAnsi="宋体"/>
                <w:szCs w:val="21"/>
                <w:highlight w:val="none"/>
              </w:rPr>
              <w:t>经确认，企业人数为</w:t>
            </w:r>
            <w:r>
              <w:rPr>
                <w:rFonts w:hint="eastAsia" w:ascii="宋体" w:hAnsi="宋体"/>
                <w:szCs w:val="21"/>
                <w:highlight w:val="none"/>
                <w:lang w:val="en-US" w:eastAsia="zh-CN"/>
              </w:rPr>
              <w:t>101</w:t>
            </w:r>
            <w:r>
              <w:rPr>
                <w:rFonts w:hint="eastAsia" w:ascii="宋体" w:hAnsi="宋体"/>
                <w:szCs w:val="21"/>
                <w:highlight w:val="none"/>
              </w:rPr>
              <w:t>人，与申报</w:t>
            </w:r>
            <w:r>
              <w:rPr>
                <w:rFonts w:hint="eastAsia" w:ascii="宋体" w:hAnsi="宋体"/>
                <w:szCs w:val="21"/>
                <w:highlight w:val="none"/>
                <w:lang w:val="en-US" w:eastAsia="zh-CN"/>
              </w:rPr>
              <w:t>不</w:t>
            </w:r>
            <w:r>
              <w:rPr>
                <w:rFonts w:hint="eastAsia" w:ascii="宋体" w:hAnsi="宋体"/>
                <w:szCs w:val="21"/>
                <w:highlight w:val="none"/>
              </w:rPr>
              <w:t>一致</w:t>
            </w:r>
            <w:r>
              <w:rPr>
                <w:rFonts w:hint="eastAsia" w:ascii="宋体" w:hAnsi="宋体"/>
                <w:szCs w:val="21"/>
                <w:highlight w:val="none"/>
                <w:lang w:eastAsia="zh-CN"/>
              </w:rPr>
              <w:t>，</w:t>
            </w:r>
            <w:r>
              <w:rPr>
                <w:rFonts w:hint="eastAsia" w:ascii="宋体" w:hAnsi="宋体"/>
                <w:szCs w:val="21"/>
                <w:highlight w:val="none"/>
                <w:lang w:val="en-US" w:eastAsia="zh-CN"/>
              </w:rPr>
              <w:t>已做变更，变更内容为：</w:t>
            </w:r>
          </w:p>
          <w:p>
            <w:pPr>
              <w:ind w:firstLine="210" w:firstLineChars="100"/>
              <w:rPr>
                <w:rFonts w:hint="default"/>
                <w:szCs w:val="21"/>
                <w:highlight w:val="none"/>
                <w:lang w:val="en-US" w:eastAsia="zh-CN"/>
              </w:rPr>
            </w:pPr>
            <w:r>
              <w:rPr>
                <w:rFonts w:hint="eastAsia"/>
                <w:szCs w:val="21"/>
                <w:highlight w:val="none"/>
                <w:lang w:val="en-US" w:eastAsia="zh-CN"/>
              </w:rPr>
              <w:t>原总人数、体系人数：85人；变更后总人数、体系人数：总人数101人、体系人数101人。</w:t>
            </w:r>
          </w:p>
          <w:p>
            <w:pPr>
              <w:rPr>
                <w:rStyle w:val="13"/>
                <w:rFonts w:hint="eastAsia" w:ascii="宋体" w:hAnsi="宋体"/>
                <w:color w:val="auto"/>
                <w:szCs w:val="21"/>
                <w:highlight w:val="none"/>
              </w:rPr>
            </w:pPr>
            <w:r>
              <w:rPr>
                <w:rFonts w:hint="eastAsia" w:ascii="宋体" w:hAnsi="宋体"/>
                <w:szCs w:val="21"/>
                <w:highlight w:val="none"/>
              </w:rPr>
              <w:t> 询问，</w:t>
            </w:r>
            <w:r>
              <w:rPr>
                <w:rFonts w:hint="eastAsia" w:ascii="宋体" w:hAnsi="宋体" w:cs="宋体"/>
                <w:szCs w:val="21"/>
                <w:highlight w:val="none"/>
              </w:rPr>
              <w:t>主要</w:t>
            </w:r>
            <w:r>
              <w:rPr>
                <w:rFonts w:hint="eastAsia" w:ascii="宋体" w:hAnsi="宋体" w:cs="宋体"/>
                <w:szCs w:val="21"/>
                <w:highlight w:val="none"/>
                <w:lang w:val="en-US" w:eastAsia="zh-CN"/>
              </w:rPr>
              <w:t>设备为</w:t>
            </w:r>
            <w:r>
              <w:rPr>
                <w:rFonts w:hint="eastAsia" w:ascii="宋体" w:hAnsi="宋体" w:cs="宋体"/>
                <w:szCs w:val="21"/>
                <w:highlight w:val="none"/>
              </w:rPr>
              <w:t>办公设备为笔记本电脑、台式电脑、打印机、电话等，生产设备为</w:t>
            </w:r>
            <w:r>
              <w:rPr>
                <w:rFonts w:hint="eastAsia" w:ascii="宋体" w:hAnsi="宋体" w:cs="宋体"/>
                <w:szCs w:val="21"/>
                <w:highlight w:val="none"/>
                <w:lang w:val="en-US" w:eastAsia="zh-CN"/>
              </w:rPr>
              <w:t>洗瓶机、灌装机、灭菌柜、装盒机</w:t>
            </w:r>
            <w:r>
              <w:rPr>
                <w:rFonts w:hint="eastAsia" w:ascii="宋体" w:hAnsi="宋体" w:cs="宋体"/>
                <w:szCs w:val="21"/>
                <w:highlight w:val="none"/>
              </w:rPr>
              <w:t>等</w:t>
            </w:r>
            <w:r>
              <w:rPr>
                <w:rStyle w:val="13"/>
                <w:rFonts w:hint="eastAsia" w:ascii="宋体" w:hAnsi="宋体"/>
                <w:color w:val="auto"/>
                <w:szCs w:val="21"/>
                <w:highlight w:val="none"/>
              </w:rPr>
              <w:t>。</w:t>
            </w:r>
          </w:p>
          <w:p>
            <w:pPr>
              <w:ind w:firstLine="420" w:firstLineChars="200"/>
              <w:rPr>
                <w:rStyle w:val="13"/>
                <w:rFonts w:hint="eastAsia" w:ascii="宋体" w:hAnsi="宋体"/>
                <w:color w:val="auto"/>
                <w:szCs w:val="21"/>
                <w:highlight w:val="none"/>
                <w:lang w:val="en-US" w:eastAsia="zh-CN"/>
              </w:rPr>
            </w:pPr>
            <w:r>
              <w:rPr>
                <w:rStyle w:val="13"/>
                <w:rFonts w:hint="eastAsia" w:ascii="宋体" w:hAnsi="宋体"/>
                <w:color w:val="auto"/>
                <w:szCs w:val="21"/>
                <w:highlight w:val="none"/>
                <w:lang w:val="en-US" w:eastAsia="zh-CN"/>
              </w:rPr>
              <w:t>经识别特殊过程以及关键过程均为：配料、灭菌干燥</w:t>
            </w:r>
            <w:r>
              <w:rPr>
                <w:rFonts w:hint="eastAsia" w:cs="Times New Roman"/>
                <w:sz w:val="20"/>
                <w:highlight w:val="none"/>
                <w:lang w:val="en-US" w:eastAsia="zh-CN"/>
              </w:rPr>
              <w:t>过程</w:t>
            </w:r>
            <w:r>
              <w:rPr>
                <w:rStyle w:val="13"/>
                <w:rFonts w:hint="eastAsia" w:ascii="宋体" w:hAnsi="宋体"/>
                <w:color w:val="auto"/>
                <w:szCs w:val="21"/>
                <w:highlight w:val="none"/>
                <w:lang w:val="en-US" w:eastAsia="zh-CN"/>
              </w:rPr>
              <w:t>；</w:t>
            </w:r>
          </w:p>
          <w:p>
            <w:pPr>
              <w:ind w:firstLine="420" w:firstLineChars="200"/>
              <w:rPr>
                <w:rFonts w:hint="eastAsia" w:eastAsia="宋体"/>
                <w:highlight w:val="none"/>
                <w:lang w:eastAsia="zh-CN"/>
              </w:rPr>
            </w:pPr>
            <w:r>
              <w:rPr>
                <w:rFonts w:hint="eastAsia"/>
                <w:highlight w:val="none"/>
              </w:rPr>
              <w:t>外包过程：无</w:t>
            </w:r>
            <w:r>
              <w:rPr>
                <w:rFonts w:hint="eastAsia"/>
                <w:highlight w:val="none"/>
                <w:lang w:eastAsia="zh-CN"/>
              </w:rPr>
              <w:t>。</w:t>
            </w:r>
          </w:p>
          <w:p>
            <w:pPr>
              <w:spacing w:line="400" w:lineRule="exact"/>
              <w:ind w:firstLine="420" w:firstLineChars="200"/>
              <w:jc w:val="left"/>
              <w:rPr>
                <w:rFonts w:ascii="宋体" w:hAnsi="宋体"/>
                <w:szCs w:val="21"/>
              </w:rPr>
            </w:pPr>
            <w:r>
              <w:rPr>
                <w:rFonts w:hint="eastAsia" w:ascii="宋体" w:hAnsi="宋体"/>
                <w:szCs w:val="21"/>
              </w:rPr>
              <w:t>体系运行</w:t>
            </w:r>
            <w:r>
              <w:rPr>
                <w:rFonts w:hint="eastAsia" w:ascii="宋体" w:hAnsi="宋体" w:cs="Times New Roman"/>
                <w:szCs w:val="21"/>
              </w:rPr>
              <w:t>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年0</w:t>
            </w:r>
            <w:r>
              <w:rPr>
                <w:rFonts w:hint="eastAsia" w:ascii="宋体" w:hAnsi="宋体" w:cs="Times New Roman"/>
                <w:szCs w:val="21"/>
                <w:lang w:val="en-US" w:eastAsia="zh-CN"/>
              </w:rPr>
              <w:t>3</w:t>
            </w:r>
            <w:r>
              <w:rPr>
                <w:rFonts w:hint="eastAsia" w:ascii="宋体" w:hAnsi="宋体" w:cs="Times New Roman"/>
                <w:szCs w:val="21"/>
                <w:lang w:eastAsia="zh-CN"/>
              </w:rPr>
              <w:t>月</w:t>
            </w:r>
            <w:r>
              <w:rPr>
                <w:rFonts w:hint="eastAsia" w:ascii="宋体" w:hAnsi="宋体" w:cs="Times New Roman"/>
                <w:szCs w:val="21"/>
                <w:lang w:val="en-US" w:eastAsia="zh-CN"/>
              </w:rPr>
              <w:t>1</w:t>
            </w:r>
            <w:r>
              <w:rPr>
                <w:rFonts w:hint="eastAsia" w:ascii="宋体" w:hAnsi="宋体" w:cs="Times New Roman"/>
                <w:szCs w:val="21"/>
                <w:lang w:eastAsia="zh-CN"/>
              </w:rPr>
              <w:t>日</w:t>
            </w:r>
            <w:r>
              <w:rPr>
                <w:rFonts w:hint="eastAsia" w:ascii="宋体" w:hAnsi="宋体" w:cs="Times New Roman"/>
                <w:szCs w:val="21"/>
              </w:rPr>
              <w:t>。</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cs="Times New Roman"/>
                <w:szCs w:val="21"/>
                <w:lang w:eastAsia="zh-CN"/>
              </w:rPr>
              <w:t>总经办、市场部、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部、财务部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w:t>
            </w:r>
            <w:r>
              <w:rPr>
                <w:rFonts w:hint="eastAsia" w:ascii="宋体" w:hAnsi="宋体"/>
                <w:szCs w:val="21"/>
                <w:highlight w:val="none"/>
              </w:rPr>
              <w:t>称</w:t>
            </w:r>
            <w:r>
              <w:rPr>
                <w:rFonts w:hint="eastAsia" w:ascii="宋体" w:hAnsi="宋体"/>
                <w:color w:val="000000"/>
                <w:szCs w:val="21"/>
                <w:highlight w:val="none"/>
              </w:rPr>
              <w:t>：</w:t>
            </w:r>
            <w:r>
              <w:rPr>
                <w:rFonts w:hint="eastAsia" w:ascii="宋体" w:hAnsi="宋体"/>
                <w:kern w:val="44"/>
                <w:szCs w:val="21"/>
                <w:highlight w:val="none"/>
              </w:rPr>
              <w:t>质量</w:t>
            </w:r>
            <w:r>
              <w:rPr>
                <w:rFonts w:ascii="宋体" w:hAnsi="宋体"/>
                <w:kern w:val="44"/>
                <w:szCs w:val="21"/>
                <w:highlight w:val="none"/>
              </w:rPr>
              <w:t>手册</w:t>
            </w:r>
            <w:r>
              <w:rPr>
                <w:rFonts w:hint="eastAsia" w:ascii="宋体" w:hAnsi="宋体"/>
                <w:kern w:val="44"/>
                <w:szCs w:val="21"/>
                <w:highlight w:val="none"/>
              </w:rPr>
              <w:t>，程序文件</w:t>
            </w:r>
            <w:r>
              <w:rPr>
                <w:rFonts w:hint="eastAsia" w:ascii="宋体" w:hAnsi="宋体"/>
                <w:kern w:val="44"/>
                <w:szCs w:val="21"/>
                <w:highlight w:val="none"/>
                <w:lang w:val="en-US" w:eastAsia="zh-CN"/>
              </w:rPr>
              <w:t>26</w:t>
            </w:r>
            <w:r>
              <w:rPr>
                <w:rFonts w:hint="eastAsia" w:ascii="宋体" w:hAnsi="宋体"/>
                <w:kern w:val="44"/>
                <w:szCs w:val="21"/>
                <w:highlight w:val="none"/>
              </w:rPr>
              <w:t>个。</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E</w:t>
            </w:r>
            <w:r>
              <w:rPr>
                <w:rFonts w:hint="eastAsia" w:ascii="宋体" w:hAnsi="宋体"/>
                <w:szCs w:val="21"/>
              </w:rPr>
              <w:t>:</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571" w:type="dxa"/>
            <w:gridSpan w:val="2"/>
          </w:tcPr>
          <w:p>
            <w:pPr>
              <w:spacing w:line="400" w:lineRule="exact"/>
              <w:rPr>
                <w:rFonts w:hint="default" w:ascii="宋体" w:hAnsi="宋体" w:cs="Times New Roman"/>
                <w:szCs w:val="21"/>
                <w:highlight w:val="none"/>
                <w:lang w:val="en-US" w:eastAsia="zh-CN"/>
              </w:rPr>
            </w:pPr>
            <w:r>
              <w:rPr>
                <w:rFonts w:hint="eastAsia" w:ascii="宋体" w:hAnsi="宋体" w:cs="Times New Roman"/>
                <w:szCs w:val="21"/>
                <w:lang w:val="en-US" w:eastAsia="zh-CN"/>
              </w:rPr>
              <w:t>公司管理方针为：</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质量源于设计、形成于生产、做质量领先药品；</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清洁生产，保护环境，促进环境可持续发展；</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珍爱健康，预防危险，建设美好生活新家园。</w:t>
            </w:r>
          </w:p>
          <w:p>
            <w:pPr>
              <w:spacing w:line="400" w:lineRule="exact"/>
              <w:rPr>
                <w:rFonts w:hint="eastAsia" w:ascii="宋体" w:hAnsi="宋体" w:cs="Times New Roman"/>
                <w:szCs w:val="21"/>
                <w:highlight w:val="none"/>
                <w:lang w:val="zh-CN" w:eastAsia="zh-CN"/>
              </w:rPr>
            </w:pPr>
            <w:r>
              <w:rPr>
                <w:rFonts w:hint="eastAsia" w:ascii="宋体" w:hAnsi="宋体" w:cs="Times New Roman"/>
                <w:szCs w:val="21"/>
                <w:highlight w:val="none"/>
                <w:lang w:val="en-US" w:eastAsia="zh-CN"/>
              </w:rPr>
              <w:t>公司的</w:t>
            </w:r>
            <w:r>
              <w:rPr>
                <w:rFonts w:hint="eastAsia" w:ascii="宋体" w:hAnsi="宋体" w:cs="Times New Roman"/>
                <w:szCs w:val="21"/>
                <w:highlight w:val="none"/>
                <w:lang w:val="zh-CN" w:eastAsia="zh-CN"/>
              </w:rPr>
              <w:t>环境管理目标：火灾事故0发生；废水、废气、噪声100%达标排放；</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zh-CN" w:eastAsia="zh-CN"/>
              </w:rPr>
              <w:t>化学品泄漏事故0发生；固体废弃物100%安全转移；环境污染事故0发生。</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经2021年3-5月完成情况统计，均满足质量目标要求。</w:t>
            </w:r>
          </w:p>
          <w:p>
            <w:pPr>
              <w:spacing w:line="360" w:lineRule="auto"/>
              <w:jc w:val="left"/>
              <w:rPr>
                <w:rFonts w:ascii="宋体" w:hAnsi="宋体"/>
                <w:szCs w:val="21"/>
              </w:rPr>
            </w:pPr>
            <w:r>
              <w:rPr>
                <w:rFonts w:hint="eastAsia" w:asciiTheme="minorEastAsia" w:hAnsiTheme="minorEastAsia" w:eastAsiaTheme="minorEastAsia" w:cstheme="minorEastAsia"/>
                <w:szCs w:val="21"/>
                <w:highlight w:val="none"/>
              </w:rPr>
              <w:t>拟定有管理方案和预案。</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E</w:t>
            </w:r>
            <w:r>
              <w:rPr>
                <w:rFonts w:hint="eastAsia" w:ascii="宋体" w:hAnsi="宋体"/>
                <w:szCs w:val="21"/>
              </w:rPr>
              <w:t>:</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76" w:hRule="atLeast"/>
        </w:trPr>
        <w:tc>
          <w:tcPr>
            <w:tcW w:w="3687" w:type="dxa"/>
          </w:tcPr>
          <w:p>
            <w:pPr>
              <w:spacing w:line="400" w:lineRule="exact"/>
              <w:rPr>
                <w:rFonts w:ascii="宋体" w:hAnsi="宋体"/>
                <w:szCs w:val="21"/>
                <w:highlight w:val="none"/>
              </w:rPr>
            </w:pPr>
            <w:r>
              <w:rPr>
                <w:rFonts w:hint="eastAsia" w:ascii="宋体" w:hAnsi="宋体"/>
                <w:szCs w:val="21"/>
                <w:highlight w:val="none"/>
              </w:rPr>
              <w:t>内部审核：</w:t>
            </w:r>
          </w:p>
          <w:p>
            <w:pPr>
              <w:spacing w:line="400" w:lineRule="exact"/>
              <w:rPr>
                <w:rFonts w:ascii="宋体" w:hAnsi="宋体"/>
                <w:szCs w:val="21"/>
                <w:highlight w:val="none"/>
              </w:rPr>
            </w:pPr>
            <w:r>
              <w:rPr>
                <w:rFonts w:hint="eastAsia" w:ascii="宋体" w:hAnsi="宋体"/>
                <w:szCs w:val="21"/>
                <w:highlight w:val="none"/>
              </w:rPr>
              <w:t>时间</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审核组</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不符合及整改</w:t>
            </w:r>
          </w:p>
          <w:p>
            <w:pPr>
              <w:spacing w:line="400" w:lineRule="exact"/>
              <w:rPr>
                <w:rFonts w:ascii="宋体" w:hAnsi="宋体"/>
                <w:szCs w:val="21"/>
                <w:highlight w:val="none"/>
              </w:rPr>
            </w:pPr>
          </w:p>
        </w:tc>
        <w:tc>
          <w:tcPr>
            <w:tcW w:w="9571" w:type="dxa"/>
            <w:gridSpan w:val="2"/>
          </w:tcPr>
          <w:p>
            <w:pPr>
              <w:spacing w:line="400" w:lineRule="exact"/>
              <w:rPr>
                <w:rFonts w:ascii="宋体" w:hAnsi="宋体"/>
                <w:szCs w:val="21"/>
                <w:highlight w:val="none"/>
              </w:rPr>
            </w:pPr>
            <w:r>
              <w:rPr>
                <w:rFonts w:hint="eastAsia" w:ascii="宋体" w:hAnsi="宋体"/>
                <w:szCs w:val="21"/>
                <w:highlight w:val="none"/>
              </w:rPr>
              <w:t>建立有《内部审核程序》</w:t>
            </w:r>
          </w:p>
          <w:p>
            <w:pPr>
              <w:spacing w:line="400" w:lineRule="exact"/>
              <w:rPr>
                <w:rFonts w:ascii="宋体" w:hAnsi="宋体"/>
                <w:szCs w:val="21"/>
                <w:highlight w:val="none"/>
              </w:rPr>
            </w:pPr>
            <w:r>
              <w:rPr>
                <w:rFonts w:hint="eastAsia" w:ascii="宋体" w:hAnsi="宋体"/>
                <w:szCs w:val="21"/>
                <w:highlight w:val="none"/>
              </w:rPr>
              <w:t xml:space="preserve">见有《内部审核计划表》 </w:t>
            </w:r>
          </w:p>
          <w:p>
            <w:pPr>
              <w:spacing w:line="380" w:lineRule="exact"/>
              <w:rPr>
                <w:rFonts w:ascii="宋体" w:hAnsi="宋体"/>
                <w:szCs w:val="21"/>
                <w:highlight w:val="none"/>
              </w:rPr>
            </w:pPr>
            <w:r>
              <w:rPr>
                <w:rFonts w:hint="eastAsia" w:ascii="宋体" w:hAnsi="宋体"/>
                <w:szCs w:val="21"/>
                <w:highlight w:val="none"/>
              </w:rPr>
              <w:t>内审</w:t>
            </w:r>
            <w:r>
              <w:rPr>
                <w:rFonts w:hint="eastAsia" w:ascii="宋体" w:hAnsi="宋体" w:cs="Times New Roman"/>
                <w:szCs w:val="21"/>
                <w:highlight w:val="none"/>
              </w:rPr>
              <w:t>时</w:t>
            </w:r>
            <w:r>
              <w:rPr>
                <w:rFonts w:hint="eastAsia" w:ascii="宋体" w:hAnsi="宋体"/>
                <w:szCs w:val="21"/>
                <w:highlight w:val="none"/>
              </w:rPr>
              <w:t>间：</w:t>
            </w:r>
            <w:r>
              <w:rPr>
                <w:rFonts w:hint="eastAsia" w:ascii="宋体" w:hAnsi="宋体"/>
                <w:szCs w:val="21"/>
                <w:highlight w:val="none"/>
                <w:lang w:val="en-US" w:eastAsia="zh-CN"/>
              </w:rPr>
              <w:t>2021年6月1日至2日</w:t>
            </w:r>
          </w:p>
          <w:p>
            <w:pPr>
              <w:spacing w:line="400" w:lineRule="exact"/>
              <w:rPr>
                <w:rFonts w:hint="default" w:ascii="宋体" w:hAnsi="宋体"/>
                <w:szCs w:val="21"/>
                <w:highlight w:val="none"/>
                <w:lang w:val="en-US"/>
              </w:rPr>
            </w:pPr>
            <w:r>
              <w:rPr>
                <w:rFonts w:hint="eastAsia" w:ascii="宋体" w:hAnsi="宋体"/>
                <w:szCs w:val="21"/>
                <w:highlight w:val="none"/>
              </w:rPr>
              <w:t xml:space="preserve">内审组： </w:t>
            </w:r>
            <w:r>
              <w:rPr>
                <w:rFonts w:hint="eastAsia" w:ascii="宋体" w:hAnsi="宋体"/>
                <w:szCs w:val="21"/>
                <w:highlight w:val="none"/>
                <w:lang w:val="en-US" w:eastAsia="zh-CN"/>
              </w:rPr>
              <w:t xml:space="preserve"> </w:t>
            </w:r>
            <w:r>
              <w:rPr>
                <w:rFonts w:hint="eastAsia" w:ascii="宋体" w:hAnsi="宋体"/>
                <w:szCs w:val="21"/>
                <w:highlight w:val="none"/>
              </w:rPr>
              <w:t>组长：</w:t>
            </w:r>
            <w:r>
              <w:rPr>
                <w:rFonts w:hint="eastAsia" w:ascii="宋体" w:hAnsi="宋体"/>
                <w:szCs w:val="21"/>
                <w:highlight w:val="none"/>
                <w:lang w:val="en-US" w:eastAsia="zh-CN"/>
              </w:rPr>
              <w:t>刘琴</w:t>
            </w:r>
            <w:r>
              <w:rPr>
                <w:rFonts w:hint="eastAsia" w:ascii="宋体" w:hAnsi="宋体"/>
                <w:szCs w:val="21"/>
                <w:highlight w:val="none"/>
              </w:rPr>
              <w:t xml:space="preserve">     审核员：</w:t>
            </w:r>
            <w:r>
              <w:rPr>
                <w:rFonts w:hint="eastAsia" w:ascii="宋体" w:hAnsi="宋体"/>
                <w:szCs w:val="21"/>
                <w:highlight w:val="none"/>
                <w:lang w:val="en-US" w:eastAsia="zh-CN"/>
              </w:rPr>
              <w:t>宋永红、</w:t>
            </w:r>
            <w:r>
              <w:rPr>
                <w:rFonts w:hint="eastAsia" w:ascii="宋体" w:hAnsi="宋体"/>
                <w:szCs w:val="21"/>
                <w:highlight w:val="none"/>
                <w:lang w:eastAsia="zh-CN"/>
              </w:rPr>
              <w:t>任军</w:t>
            </w:r>
          </w:p>
          <w:p>
            <w:pPr>
              <w:spacing w:line="400" w:lineRule="exact"/>
              <w:rPr>
                <w:rFonts w:hint="eastAsia" w:ascii="宋体" w:hAnsi="宋体"/>
                <w:szCs w:val="21"/>
                <w:highlight w:val="none"/>
              </w:rPr>
            </w:pPr>
            <w:r>
              <w:rPr>
                <w:rFonts w:hint="eastAsia" w:ascii="宋体" w:hAnsi="宋体"/>
                <w:szCs w:val="21"/>
                <w:highlight w:val="none"/>
              </w:rPr>
              <w:t>见有：《内审不符合项报告》1份，涉及财务部E</w:t>
            </w:r>
            <w:r>
              <w:rPr>
                <w:rFonts w:hint="eastAsia" w:ascii="宋体" w:hAnsi="宋体"/>
                <w:szCs w:val="21"/>
                <w:highlight w:val="none"/>
                <w:lang w:val="en-US" w:eastAsia="zh-CN"/>
              </w:rPr>
              <w:t>S</w:t>
            </w:r>
            <w:r>
              <w:rPr>
                <w:rFonts w:hint="eastAsia" w:ascii="宋体" w:hAnsi="宋体"/>
                <w:szCs w:val="21"/>
                <w:highlight w:val="none"/>
              </w:rPr>
              <w:t>8.1条款“现场查见，未制定环境、职业健康安全资金投入计划的证据”，针对该不符合出合规性评价的项，已及时采取纠正措施后，经内审员验证关闭。</w:t>
            </w:r>
          </w:p>
          <w:p>
            <w:pPr>
              <w:spacing w:line="400" w:lineRule="exact"/>
              <w:rPr>
                <w:rFonts w:ascii="宋体" w:hAnsi="宋体"/>
                <w:szCs w:val="21"/>
                <w:highlight w:val="none"/>
              </w:rPr>
            </w:pPr>
            <w:r>
              <w:rPr>
                <w:rFonts w:hint="eastAsia" w:ascii="宋体" w:hAnsi="宋体"/>
                <w:szCs w:val="21"/>
                <w:highlight w:val="none"/>
              </w:rPr>
              <w:t>有《内部审核报告》，有审核结论。</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E</w:t>
            </w:r>
            <w:r>
              <w:rPr>
                <w:rFonts w:hint="eastAsia" w:ascii="宋体" w:hAnsi="宋体"/>
                <w:szCs w:val="21"/>
              </w:rPr>
              <w:t>:</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gridSpan w:val="2"/>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hint="eastAsia" w:ascii="宋体" w:hAnsi="宋体"/>
                <w:szCs w:val="21"/>
              </w:rPr>
            </w:pPr>
            <w:r>
              <w:rPr>
                <w:rFonts w:hint="eastAsia" w:ascii="宋体" w:hAnsi="宋体"/>
                <w:szCs w:val="21"/>
              </w:rPr>
              <w:t>管理评审于</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t>5日</w:t>
            </w:r>
            <w:r>
              <w:rPr>
                <w:rFonts w:hint="eastAsia" w:ascii="宋体" w:hAnsi="宋体"/>
                <w:szCs w:val="21"/>
                <w:lang w:val="en-US" w:eastAsia="zh-CN"/>
              </w:rPr>
              <w:t>由总经理</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hint="eastAsia" w:ascii="宋体" w:hAnsi="宋体" w:cs="Times New Roman"/>
                <w:kern w:val="0"/>
                <w:szCs w:val="21"/>
              </w:rPr>
            </w:pPr>
            <w:r>
              <w:rPr>
                <w:rFonts w:hint="eastAsia" w:ascii="宋体" w:hAnsi="宋体"/>
                <w:kern w:val="0"/>
                <w:szCs w:val="21"/>
              </w:rPr>
              <w:t>提供</w:t>
            </w:r>
            <w:r>
              <w:rPr>
                <w:rFonts w:hint="eastAsia" w:ascii="宋体" w:hAnsi="宋体" w:cs="Times New Roman"/>
                <w:kern w:val="0"/>
                <w:szCs w:val="21"/>
              </w:rPr>
              <w:t>主要输入材料有：各部门总结，输入信息基本充分和满足要求。</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重大改进措施（可附页）：</w:t>
            </w:r>
          </w:p>
          <w:p>
            <w:pPr>
              <w:adjustRightInd w:val="0"/>
              <w:spacing w:line="400" w:lineRule="exact"/>
              <w:ind w:firstLine="420" w:firstLineChars="200"/>
              <w:textAlignment w:val="baseline"/>
              <w:rPr>
                <w:rFonts w:hint="eastAsia" w:ascii="宋体" w:hAnsi="宋体" w:cs="Times New Roman"/>
                <w:kern w:val="0"/>
                <w:szCs w:val="21"/>
              </w:rPr>
            </w:pPr>
            <w:r>
              <w:rPr>
                <w:rFonts w:hint="eastAsia" w:ascii="宋体" w:hAnsi="宋体" w:cs="Times New Roman"/>
                <w:kern w:val="0"/>
                <w:szCs w:val="21"/>
              </w:rPr>
              <w:t>由</w:t>
            </w:r>
            <w:r>
              <w:rPr>
                <w:rFonts w:hint="eastAsia" w:ascii="宋体" w:hAnsi="宋体" w:cs="Times New Roman"/>
                <w:kern w:val="0"/>
                <w:szCs w:val="21"/>
                <w:lang w:eastAsia="zh-CN"/>
              </w:rPr>
              <w:t>总经办</w:t>
            </w:r>
            <w:r>
              <w:rPr>
                <w:rFonts w:hint="eastAsia" w:ascii="宋体" w:hAnsi="宋体" w:cs="Times New Roman"/>
                <w:kern w:val="0"/>
                <w:szCs w:val="21"/>
              </w:rPr>
              <w:t>负责继续组织学习公司新建的管理手册和程序文件，</w:t>
            </w:r>
            <w:r>
              <w:rPr>
                <w:rFonts w:hint="eastAsia" w:ascii="宋体" w:hAnsi="宋体" w:cs="Times New Roman"/>
                <w:kern w:val="0"/>
                <w:szCs w:val="21"/>
                <w:lang w:val="en-US" w:eastAsia="zh-CN"/>
              </w:rPr>
              <w:t>各部门负责人加强部门人员学习管理体系，督导各部门体系的实施</w:t>
            </w:r>
            <w:r>
              <w:rPr>
                <w:rFonts w:hint="eastAsia" w:ascii="宋体" w:hAnsi="宋体" w:cs="Times New Roman"/>
                <w:kern w:val="0"/>
                <w:szCs w:val="21"/>
              </w:rPr>
              <w:t>。</w:t>
            </w:r>
          </w:p>
          <w:p>
            <w:pPr>
              <w:adjustRightInd w:val="0"/>
              <w:spacing w:line="400" w:lineRule="exact"/>
              <w:ind w:firstLine="420" w:firstLineChars="200"/>
              <w:textAlignment w:val="baseline"/>
              <w:rPr>
                <w:rFonts w:hint="eastAsia" w:ascii="宋体" w:hAnsi="宋体" w:cs="Times New Roman"/>
                <w:kern w:val="0"/>
                <w:szCs w:val="21"/>
              </w:rPr>
            </w:pPr>
            <w:r>
              <w:rPr>
                <w:rFonts w:hint="eastAsia" w:ascii="宋体" w:hAnsi="宋体" w:cs="Times New Roman"/>
                <w:kern w:val="0"/>
                <w:szCs w:val="21"/>
              </w:rPr>
              <w:t>评审结论：</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rPr>
              <w:t>本次会议通过各职能部门反馈的情况，先由各部门起草了汇报材料，经管理者代表审阅汇总，管理者代表审阅批准后下发到每个与会者手中阅读，再在会议上对这些情况进行了分析、讨论，得出结论如下：</w:t>
            </w:r>
          </w:p>
          <w:p>
            <w:pPr>
              <w:spacing w:line="400" w:lineRule="exact"/>
              <w:rPr>
                <w:rFonts w:hint="default" w:ascii="宋体" w:hAnsi="宋体" w:cs="Times New Roman"/>
                <w:kern w:val="0"/>
                <w:szCs w:val="21"/>
                <w:lang w:val="en-US"/>
              </w:rPr>
            </w:pPr>
            <w:r>
              <w:rPr>
                <w:rFonts w:hint="eastAsia" w:ascii="宋体" w:hAnsi="宋体" w:cs="Times New Roman"/>
                <w:kern w:val="0"/>
                <w:szCs w:val="21"/>
              </w:rPr>
              <w:t>1）公司建立了“</w:t>
            </w:r>
            <w:r>
              <w:rPr>
                <w:rFonts w:hint="eastAsia" w:ascii="宋体" w:hAnsi="宋体" w:cs="Times New Roman"/>
                <w:szCs w:val="21"/>
                <w:highlight w:val="none"/>
                <w:lang w:val="en-US" w:eastAsia="zh-CN"/>
              </w:rPr>
              <w:t>质量源于设计、形成于生产、做质量领先药品；清洁生产，保护环境，促进环境可持续发展；珍爱健康，预防危险，建设美好生活新家园</w:t>
            </w:r>
            <w:r>
              <w:rPr>
                <w:rFonts w:hint="eastAsia" w:ascii="宋体" w:hAnsi="宋体" w:cs="Times New Roman"/>
                <w:kern w:val="0"/>
                <w:szCs w:val="21"/>
              </w:rPr>
              <w:t>”管理方针，公司的管理方针体现了公司的特点，具有一定的适宜性。公司根据管理方针制定了公司管理目标，目前公司管理目标的完成情况：产品一次交验合格率98%、顾客满意率96.5分、固废处置率100%、未发生火灾事故、未发生安全事故、未发生人员重大伤亡事故、未发生重大设备事故等。从公司的管理目标的实现情况和各部门对管理目标的理解情况来看,公司的目标</w:t>
            </w:r>
            <w:r>
              <w:rPr>
                <w:rFonts w:hint="eastAsia" w:ascii="宋体" w:hAnsi="宋体" w:cs="Times New Roman"/>
                <w:kern w:val="0"/>
                <w:szCs w:val="21"/>
                <w:lang w:val="en-US" w:eastAsia="zh-CN"/>
              </w:rPr>
              <w:t>是有效的，管理体系是有效的，公司履行了合规义务。</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lang w:val="en-US" w:eastAsia="zh-CN"/>
              </w:rPr>
              <w:t>2</w:t>
            </w:r>
            <w:r>
              <w:rPr>
                <w:rFonts w:hint="eastAsia" w:ascii="宋体" w:hAnsi="宋体" w:cs="Times New Roman"/>
                <w:kern w:val="0"/>
                <w:szCs w:val="21"/>
              </w:rPr>
              <w:t>）公司对产品质量、环境管理和安全情况进行了检查和测量，均符合公司质量环境安全目标和指标的要求</w:t>
            </w:r>
            <w:r>
              <w:rPr>
                <w:rFonts w:hint="eastAsia" w:ascii="宋体" w:hAnsi="宋体" w:cs="Times New Roman"/>
                <w:kern w:val="0"/>
                <w:szCs w:val="21"/>
                <w:lang w:eastAsia="zh-CN"/>
              </w:rPr>
              <w:t>，</w:t>
            </w:r>
            <w:r>
              <w:rPr>
                <w:rFonts w:hint="eastAsia" w:ascii="宋体" w:hAnsi="宋体" w:cs="Times New Roman"/>
                <w:kern w:val="0"/>
                <w:szCs w:val="21"/>
                <w:lang w:val="en-US" w:eastAsia="zh-CN"/>
              </w:rPr>
              <w:t>符合合规义务要求</w:t>
            </w:r>
            <w:r>
              <w:rPr>
                <w:rFonts w:hint="eastAsia" w:ascii="宋体" w:hAnsi="宋体" w:cs="Times New Roman"/>
                <w:kern w:val="0"/>
                <w:szCs w:val="21"/>
              </w:rPr>
              <w:t>。</w:t>
            </w:r>
          </w:p>
          <w:p>
            <w:pPr>
              <w:adjustRightInd w:val="0"/>
              <w:spacing w:line="400" w:lineRule="exact"/>
              <w:textAlignment w:val="baseline"/>
              <w:rPr>
                <w:rFonts w:hint="eastAsia" w:ascii="宋体" w:hAnsi="宋体" w:cs="Times New Roman"/>
                <w:kern w:val="0"/>
                <w:szCs w:val="21"/>
              </w:rPr>
            </w:pPr>
            <w:r>
              <w:rPr>
                <w:rFonts w:hint="eastAsia" w:ascii="宋体" w:hAnsi="宋体" w:cs="Times New Roman"/>
                <w:kern w:val="0"/>
                <w:szCs w:val="21"/>
                <w:lang w:val="en-US" w:eastAsia="zh-CN"/>
              </w:rPr>
              <w:t>3</w:t>
            </w:r>
            <w:r>
              <w:rPr>
                <w:rFonts w:hint="eastAsia" w:ascii="宋体" w:hAnsi="宋体" w:cs="Times New Roman"/>
                <w:kern w:val="0"/>
                <w:szCs w:val="21"/>
              </w:rPr>
              <w:t>) 公司为了更好的实施公司的管理体系，对公司的供方也提出了相应的</w:t>
            </w:r>
            <w:r>
              <w:rPr>
                <w:rFonts w:hint="eastAsia" w:ascii="宋体" w:hAnsi="宋体" w:cs="Times New Roman"/>
                <w:kern w:val="0"/>
                <w:szCs w:val="21"/>
                <w:lang w:val="en-US" w:eastAsia="zh-CN"/>
              </w:rPr>
              <w:t>环境</w:t>
            </w:r>
            <w:r>
              <w:rPr>
                <w:rFonts w:hint="eastAsia" w:ascii="宋体" w:hAnsi="宋体" w:cs="Times New Roman"/>
                <w:kern w:val="0"/>
                <w:szCs w:val="21"/>
              </w:rPr>
              <w:t>安全管理要求，通过公开信的形式对供方进行了告知。</w:t>
            </w:r>
          </w:p>
          <w:p>
            <w:pPr>
              <w:adjustRightInd w:val="0"/>
              <w:spacing w:line="400" w:lineRule="exact"/>
              <w:textAlignment w:val="baseline"/>
              <w:rPr>
                <w:rFonts w:hint="eastAsia" w:ascii="宋体" w:hAnsi="宋体" w:cs="Times New Roman"/>
                <w:kern w:val="0"/>
                <w:szCs w:val="21"/>
                <w:lang w:eastAsia="zh-CN"/>
              </w:rPr>
            </w:pPr>
            <w:r>
              <w:rPr>
                <w:rFonts w:hint="eastAsia" w:ascii="宋体" w:hAnsi="宋体" w:cs="Times New Roman"/>
                <w:kern w:val="0"/>
                <w:szCs w:val="21"/>
                <w:lang w:val="en-US" w:eastAsia="zh-CN"/>
              </w:rPr>
              <w:t>4</w:t>
            </w:r>
            <w:r>
              <w:rPr>
                <w:rFonts w:hint="eastAsia" w:ascii="宋体" w:hAnsi="宋体" w:cs="Times New Roman"/>
                <w:kern w:val="0"/>
                <w:szCs w:val="21"/>
              </w:rPr>
              <w:t>）目前针对员工对</w:t>
            </w:r>
            <w:r>
              <w:rPr>
                <w:rFonts w:hint="eastAsia" w:ascii="宋体" w:hAnsi="宋体" w:cs="Times New Roman"/>
                <w:kern w:val="0"/>
                <w:szCs w:val="21"/>
                <w:lang w:val="en-US" w:eastAsia="zh-CN"/>
              </w:rPr>
              <w:t>质量、环境、</w:t>
            </w:r>
            <w:r>
              <w:rPr>
                <w:rFonts w:hint="eastAsia" w:ascii="宋体" w:hAnsi="宋体" w:cs="Times New Roman"/>
                <w:kern w:val="0"/>
                <w:szCs w:val="21"/>
              </w:rPr>
              <w:t>安全意识制定了纠正和预防措施，以便公司能更好实施管理体系</w:t>
            </w:r>
            <w:r>
              <w:rPr>
                <w:rFonts w:hint="eastAsia" w:ascii="宋体" w:hAnsi="宋体" w:cs="Times New Roman"/>
                <w:kern w:val="0"/>
                <w:szCs w:val="21"/>
                <w:lang w:eastAsia="zh-CN"/>
              </w:rPr>
              <w:t>。</w:t>
            </w:r>
          </w:p>
          <w:p>
            <w:pPr>
              <w:adjustRightInd w:val="0"/>
              <w:spacing w:line="400" w:lineRule="exact"/>
              <w:textAlignment w:val="baseline"/>
              <w:rPr>
                <w:rFonts w:hint="eastAsia" w:ascii="宋体" w:hAnsi="宋体" w:cs="Times New Roman"/>
                <w:kern w:val="0"/>
                <w:szCs w:val="21"/>
                <w:lang w:eastAsia="zh-CN"/>
              </w:rPr>
            </w:pPr>
            <w:r>
              <w:rPr>
                <w:rFonts w:hint="eastAsia" w:ascii="宋体" w:hAnsi="宋体" w:cs="Times New Roman"/>
                <w:kern w:val="0"/>
                <w:szCs w:val="21"/>
                <w:lang w:eastAsia="zh-CN"/>
              </w:rPr>
              <w:t>。。。。。。</w:t>
            </w:r>
          </w:p>
          <w:p>
            <w:pPr>
              <w:adjustRightInd w:val="0"/>
              <w:spacing w:line="400" w:lineRule="exact"/>
              <w:ind w:firstLine="420" w:firstLineChars="200"/>
              <w:textAlignment w:val="baseline"/>
              <w:rPr>
                <w:rFonts w:ascii="宋体" w:hAnsi="宋体"/>
                <w:kern w:val="0"/>
                <w:szCs w:val="21"/>
                <w:u w:val="single"/>
              </w:rPr>
            </w:pPr>
            <w:r>
              <w:rPr>
                <w:rFonts w:hint="eastAsia" w:ascii="宋体" w:hAnsi="宋体" w:cs="Times New Roman"/>
                <w:kern w:val="0"/>
                <w:szCs w:val="21"/>
              </w:rPr>
              <w:t>总体来看，本公司的管理体系是持续适宜、充分的。</w:t>
            </w:r>
          </w:p>
        </w:tc>
        <w:tc>
          <w:tcPr>
            <w:tcW w:w="1025" w:type="dxa"/>
            <w:gridSpan w:val="2"/>
          </w:tcPr>
          <w:p>
            <w:pPr>
              <w:adjustRightInd w:val="0"/>
              <w:snapToGrid w:val="0"/>
              <w:rPr>
                <w:rFonts w:ascii="宋体" w:hAnsi="宋体" w:cs="宋体"/>
                <w:szCs w:val="21"/>
              </w:rPr>
            </w:pPr>
            <w:r>
              <w:rPr>
                <w:rFonts w:hint="eastAsia" w:ascii="宋体" w:hAnsi="宋体"/>
                <w:szCs w:val="21"/>
                <w:lang w:eastAsia="zh-CN"/>
              </w:rPr>
              <w:t>E</w:t>
            </w:r>
            <w:r>
              <w:rPr>
                <w:rFonts w:hint="eastAsia" w:ascii="宋体" w:hAnsi="宋体"/>
                <w:szCs w:val="21"/>
              </w:rPr>
              <w:t>:</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701" w:type="dxa"/>
            <w:gridSpan w:val="2"/>
          </w:tcPr>
          <w:p>
            <w:pPr>
              <w:spacing w:line="400" w:lineRule="exact"/>
              <w:rPr>
                <w:rFonts w:ascii="宋体" w:hAnsi="宋体"/>
                <w:szCs w:val="21"/>
                <w:highlight w:val="none"/>
              </w:rPr>
            </w:pPr>
            <w:r>
              <w:rPr>
                <w:rFonts w:hint="eastAsia" w:ascii="宋体" w:hAnsi="宋体"/>
                <w:szCs w:val="21"/>
                <w:highlight w:val="none"/>
              </w:rPr>
              <w:t>相关法规</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环评报告及环评验收</w:t>
            </w:r>
          </w:p>
          <w:p>
            <w:pPr>
              <w:pStyle w:val="14"/>
              <w:rPr>
                <w:rFonts w:hint="default"/>
                <w:highlight w:val="none"/>
              </w:rPr>
            </w:pPr>
          </w:p>
          <w:p>
            <w:pPr>
              <w:pStyle w:val="14"/>
              <w:rPr>
                <w:rFonts w:hint="default" w:ascii="宋体" w:hAnsi="宋体" w:eastAsia="宋体" w:cs="Times New Roman"/>
                <w:color w:val="auto"/>
                <w:kern w:val="2"/>
                <w:sz w:val="21"/>
                <w:szCs w:val="21"/>
                <w:highlight w:val="none"/>
                <w:lang w:val="en-US" w:eastAsia="zh-CN" w:bidi="ar-SA"/>
              </w:rPr>
            </w:pPr>
          </w:p>
          <w:p>
            <w:pPr>
              <w:pStyle w:val="14"/>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环境监测报告</w:t>
            </w:r>
          </w:p>
          <w:p>
            <w:pPr>
              <w:spacing w:line="400" w:lineRule="exact"/>
              <w:rPr>
                <w:rFonts w:hint="eastAsia"/>
                <w:szCs w:val="21"/>
                <w:highlight w:val="none"/>
              </w:rPr>
            </w:pPr>
          </w:p>
          <w:p>
            <w:pPr>
              <w:rPr>
                <w:highlight w:val="none"/>
              </w:rPr>
            </w:pPr>
          </w:p>
          <w:p>
            <w:pPr>
              <w:rPr>
                <w:highlight w:val="none"/>
              </w:rPr>
            </w:pPr>
          </w:p>
          <w:p>
            <w:pPr>
              <w:spacing w:line="400" w:lineRule="exact"/>
              <w:rPr>
                <w:szCs w:val="21"/>
                <w:highlight w:val="none"/>
              </w:rPr>
            </w:pPr>
            <w:r>
              <w:rPr>
                <w:rFonts w:hint="eastAsia"/>
                <w:szCs w:val="21"/>
                <w:highlight w:val="none"/>
              </w:rPr>
              <w:t>执行的排污标准（EMS）</w:t>
            </w:r>
          </w:p>
          <w:p>
            <w:pPr>
              <w:spacing w:line="400" w:lineRule="exact"/>
              <w:rPr>
                <w:szCs w:val="21"/>
                <w:highlight w:val="none"/>
              </w:rPr>
            </w:pPr>
          </w:p>
          <w:p>
            <w:pPr>
              <w:spacing w:line="400" w:lineRule="exact"/>
              <w:rPr>
                <w:szCs w:val="21"/>
                <w:highlight w:val="none"/>
              </w:rPr>
            </w:pPr>
            <w:r>
              <w:rPr>
                <w:rFonts w:hint="eastAsia"/>
                <w:szCs w:val="21"/>
                <w:highlight w:val="none"/>
              </w:rPr>
              <w:t xml:space="preserve">合规性评价报告 </w:t>
            </w:r>
          </w:p>
          <w:p>
            <w:pPr>
              <w:spacing w:line="400" w:lineRule="exact"/>
              <w:rPr>
                <w:rFonts w:ascii="宋体" w:hAnsi="宋体"/>
                <w:szCs w:val="21"/>
                <w:highlight w:val="none"/>
              </w:rPr>
            </w:pPr>
          </w:p>
        </w:tc>
        <w:tc>
          <w:tcPr>
            <w:tcW w:w="9579" w:type="dxa"/>
            <w:gridSpan w:val="2"/>
          </w:tcPr>
          <w:p>
            <w:pPr>
              <w:spacing w:line="400" w:lineRule="exact"/>
              <w:rPr>
                <w:rFonts w:hint="eastAsia" w:eastAsia="宋体"/>
                <w:szCs w:val="21"/>
                <w:highlight w:val="none"/>
                <w:lang w:eastAsia="zh-CN"/>
              </w:rPr>
            </w:pPr>
            <w:r>
              <w:rPr>
                <w:rFonts w:hint="eastAsia" w:ascii="宋体" w:hAnsi="宋体"/>
                <w:szCs w:val="21"/>
                <w:highlight w:val="none"/>
              </w:rPr>
              <w:t>中华人民共和国</w:t>
            </w:r>
            <w:r>
              <w:rPr>
                <w:rFonts w:hint="eastAsia" w:ascii="宋体" w:hAnsi="宋体"/>
                <w:szCs w:val="21"/>
                <w:highlight w:val="none"/>
                <w:lang w:val="en-US" w:eastAsia="zh-CN"/>
              </w:rPr>
              <w:t>民法典</w:t>
            </w:r>
            <w:r>
              <w:rPr>
                <w:rFonts w:hint="eastAsia" w:ascii="宋体" w:hAnsi="宋体"/>
                <w:szCs w:val="21"/>
                <w:highlight w:val="none"/>
              </w:rPr>
              <w:t>、中华人民共和国劳动法、中华人民共和国安全消防法、</w:t>
            </w:r>
            <w:r>
              <w:rPr>
                <w:rFonts w:hint="eastAsia" w:ascii="宋体" w:hAnsi="宋体"/>
                <w:color w:val="000000"/>
                <w:szCs w:val="21"/>
                <w:highlight w:val="none"/>
              </w:rPr>
              <w:t>中华人民共和国劳动合同法、</w:t>
            </w:r>
            <w:r>
              <w:rPr>
                <w:rFonts w:ascii="宋体" w:hAnsi="宋体" w:cs="Arial"/>
                <w:color w:val="000000"/>
                <w:szCs w:val="21"/>
                <w:highlight w:val="none"/>
                <w:shd w:val="clear" w:color="auto" w:fill="FFFFFF"/>
              </w:rPr>
              <w:t>中华人民共和国产品质量法</w:t>
            </w:r>
            <w:r>
              <w:rPr>
                <w:rFonts w:hint="eastAsia" w:ascii="宋体" w:hAnsi="宋体" w:cs="Arial"/>
                <w:color w:val="000000"/>
                <w:szCs w:val="21"/>
                <w:highlight w:val="none"/>
                <w:shd w:val="clear" w:color="auto" w:fill="FFFFFF"/>
              </w:rPr>
              <w:t>、</w:t>
            </w:r>
            <w:r>
              <w:rPr>
                <w:rFonts w:hint="eastAsia" w:ascii="宋体" w:hAnsi="宋体" w:cs="宋体"/>
                <w:color w:val="000000"/>
                <w:szCs w:val="21"/>
                <w:highlight w:val="none"/>
              </w:rPr>
              <w:t>中华人民共和国安全生产法</w:t>
            </w:r>
            <w:r>
              <w:rPr>
                <w:rFonts w:hint="eastAsia" w:ascii="宋体" w:hAnsi="宋体"/>
                <w:szCs w:val="21"/>
                <w:highlight w:val="none"/>
                <w:lang w:eastAsia="zh-CN"/>
              </w:rPr>
              <w:t>、《药品生产质量管理规范》（2010年修订），《中华人民共和国药品管理法》（2019年修订）、《药品生产监督管理办法》、《中华人民共和国药品管理法实施条例》、《药品注册管理办法》</w:t>
            </w:r>
          </w:p>
          <w:p>
            <w:pPr>
              <w:spacing w:line="400" w:lineRule="exact"/>
              <w:rPr>
                <w:rFonts w:ascii="宋体" w:hAnsi="宋体"/>
                <w:szCs w:val="21"/>
                <w:highlight w:val="none"/>
              </w:rPr>
            </w:pPr>
          </w:p>
          <w:p>
            <w:pPr>
              <w:pStyle w:val="14"/>
              <w:keepNext w:val="0"/>
              <w:keepLines w:val="0"/>
              <w:pageBreakBefore w:val="0"/>
              <w:widowControl w:val="0"/>
              <w:numPr>
                <w:ilvl w:val="0"/>
                <w:numId w:val="1"/>
              </w:numPr>
              <w:kinsoku/>
              <w:wordWrap/>
              <w:overflowPunct/>
              <w:topLinePunct w:val="0"/>
              <w:bidi w:val="0"/>
              <w:snapToGrid/>
              <w:spacing w:line="240" w:lineRule="auto"/>
              <w:textAlignment w:val="auto"/>
              <w:rPr>
                <w:rFonts w:hint="eastAsia" w:ascii="宋体" w:hAnsi="宋体" w:eastAsia="宋体"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关于成都市海通药业有限公司环境影响报告表的审查批复（温环建评[2015]11号）</w:t>
            </w:r>
          </w:p>
          <w:p>
            <w:pPr>
              <w:keepNext w:val="0"/>
              <w:keepLines w:val="0"/>
              <w:pageBreakBefore w:val="0"/>
              <w:widowControl w:val="0"/>
              <w:numPr>
                <w:ilvl w:val="0"/>
                <w:numId w:val="1"/>
              </w:numPr>
              <w:kinsoku/>
              <w:wordWrap/>
              <w:overflowPunct/>
              <w:topLinePunct w:val="0"/>
              <w:bidi w:val="0"/>
              <w:snapToGrid/>
              <w:spacing w:beforeLines="50" w:line="240" w:lineRule="auto"/>
              <w:ind w:left="0" w:leftChars="0" w:firstLine="0" w:firstLineChars="0"/>
              <w:textAlignment w:val="auto"/>
              <w:rPr>
                <w:rFonts w:hint="eastAsia"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关于成都市海通药业有限公司环境影响报告表的验收批复（温环验（工）[2016]21号）</w:t>
            </w:r>
          </w:p>
          <w:p>
            <w:pPr>
              <w:keepNext w:val="0"/>
              <w:keepLines w:val="0"/>
              <w:pageBreakBefore w:val="0"/>
              <w:widowControl w:val="0"/>
              <w:numPr>
                <w:ilvl w:val="0"/>
                <w:numId w:val="0"/>
              </w:numPr>
              <w:kinsoku/>
              <w:wordWrap/>
              <w:overflowPunct/>
              <w:topLinePunct w:val="0"/>
              <w:bidi w:val="0"/>
              <w:snapToGrid/>
              <w:spacing w:beforeLines="50" w:line="240" w:lineRule="auto"/>
              <w:ind w:leftChars="0"/>
              <w:textAlignment w:val="auto"/>
              <w:rPr>
                <w:rFonts w:hint="default"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因成都市海通药业有限公司生产区域与成都通德药业有限公司为共用厂区，且排放废水废气等处理设备均为成都通德药业有限公司处理，见附件，故环境监测报告为成都通德药业有限公司出具。           1、提供成都通德药业有限公司废水监测报告（洁承环监字2020第11047号）</w:t>
            </w:r>
          </w:p>
          <w:p>
            <w:pPr>
              <w:pStyle w:val="14"/>
              <w:rPr>
                <w:rFonts w:hint="eastAsia"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2、提供成都通德药业有限公司无组织废气监测报告（洁承环监字2020第11045号）</w:t>
            </w:r>
          </w:p>
          <w:p>
            <w:pPr>
              <w:pStyle w:val="14"/>
              <w:rPr>
                <w:rFonts w:hint="default" w:cs="Arial"/>
                <w:color w:val="000000"/>
                <w:kern w:val="2"/>
                <w:sz w:val="21"/>
                <w:szCs w:val="21"/>
                <w:highlight w:val="none"/>
                <w:shd w:val="clear" w:color="auto" w:fill="FFFFFF"/>
                <w:lang w:val="en-US" w:eastAsia="zh-CN" w:bidi="ar-SA"/>
              </w:rPr>
            </w:pPr>
            <w:r>
              <w:rPr>
                <w:rFonts w:hint="eastAsia" w:cs="Arial"/>
                <w:color w:val="000000"/>
                <w:kern w:val="2"/>
                <w:sz w:val="21"/>
                <w:szCs w:val="21"/>
                <w:highlight w:val="none"/>
                <w:shd w:val="clear" w:color="auto" w:fill="FFFFFF"/>
                <w:lang w:val="en-US" w:eastAsia="zh-CN" w:bidi="ar-SA"/>
              </w:rPr>
              <w:t>3、提供成都通德药业有限公司有组织废气、噪声监测报告（洁承环监字2020第11046号）</w:t>
            </w:r>
          </w:p>
          <w:p>
            <w:pPr>
              <w:spacing w:line="400" w:lineRule="exact"/>
              <w:rPr>
                <w:rFonts w:ascii="宋体" w:hAnsi="宋体"/>
                <w:szCs w:val="21"/>
                <w:highlight w:val="none"/>
              </w:rPr>
            </w:pPr>
            <w:r>
              <w:rPr>
                <w:rFonts w:hint="eastAsia" w:ascii="宋体" w:hAnsi="宋体"/>
                <w:szCs w:val="21"/>
                <w:highlight w:val="none"/>
              </w:rPr>
              <w:t>《大气污染物综合排放标准》(GB16297-1996)</w:t>
            </w:r>
            <w:r>
              <w:rPr>
                <w:rFonts w:hint="eastAsia" w:ascii="宋体" w:hAnsi="宋体"/>
                <w:szCs w:val="21"/>
                <w:highlight w:val="none"/>
                <w:lang w:val="en-US" w:eastAsia="zh-CN"/>
              </w:rPr>
              <w:t>二级标准</w:t>
            </w:r>
            <w:r>
              <w:rPr>
                <w:rFonts w:hint="eastAsia" w:ascii="宋体" w:hAnsi="宋体"/>
                <w:szCs w:val="21"/>
                <w:highlight w:val="none"/>
                <w:lang w:eastAsia="zh-CN"/>
              </w:rPr>
              <w:t>、</w:t>
            </w:r>
            <w:r>
              <w:rPr>
                <w:rFonts w:hint="eastAsia" w:ascii="宋体" w:hAnsi="宋体"/>
                <w:szCs w:val="21"/>
                <w:highlight w:val="none"/>
              </w:rPr>
              <w:t>《工业企业界环境噪声排放标准》(GB12348-2008)</w:t>
            </w:r>
            <w:r>
              <w:rPr>
                <w:rFonts w:hint="eastAsia" w:ascii="宋体" w:hAnsi="宋体"/>
                <w:szCs w:val="21"/>
                <w:highlight w:val="none"/>
                <w:lang w:val="en-US" w:eastAsia="zh-CN"/>
              </w:rPr>
              <w:t>Ⅲ</w:t>
            </w:r>
            <w:r>
              <w:rPr>
                <w:rFonts w:hint="eastAsia" w:ascii="宋体" w:hAnsi="宋体"/>
                <w:szCs w:val="21"/>
                <w:highlight w:val="none"/>
              </w:rPr>
              <w:t>类标准的要求</w:t>
            </w:r>
            <w:r>
              <w:rPr>
                <w:rFonts w:hint="eastAsia" w:ascii="宋体" w:hAnsi="宋体"/>
                <w:szCs w:val="21"/>
                <w:highlight w:val="none"/>
                <w:lang w:eastAsia="zh-CN"/>
              </w:rPr>
              <w:t>、</w:t>
            </w:r>
            <w:r>
              <w:rPr>
                <w:rFonts w:hint="eastAsia" w:ascii="宋体" w:hAnsi="宋体"/>
                <w:szCs w:val="21"/>
                <w:highlight w:val="none"/>
              </w:rPr>
              <w:t>《污水综合排放标准》(GB8978-1996)</w:t>
            </w:r>
            <w:r>
              <w:rPr>
                <w:rFonts w:hint="eastAsia" w:ascii="宋体" w:hAnsi="宋体"/>
                <w:szCs w:val="21"/>
                <w:highlight w:val="none"/>
                <w:lang w:val="en-US" w:eastAsia="zh-CN"/>
              </w:rPr>
              <w:t>三级</w:t>
            </w:r>
            <w:r>
              <w:rPr>
                <w:rFonts w:hint="eastAsia" w:ascii="宋体" w:hAnsi="宋体"/>
                <w:szCs w:val="21"/>
                <w:highlight w:val="none"/>
              </w:rPr>
              <w:t>标准限值要求。</w:t>
            </w:r>
          </w:p>
          <w:p>
            <w:pPr>
              <w:spacing w:line="400" w:lineRule="exact"/>
              <w:rPr>
                <w:szCs w:val="21"/>
                <w:highlight w:val="none"/>
              </w:rPr>
            </w:pPr>
            <w:r>
              <w:rPr>
                <w:rFonts w:hint="eastAsia"/>
                <w:szCs w:val="21"/>
                <w:highlight w:val="none"/>
                <w:lang w:val="en-US" w:eastAsia="zh-CN"/>
              </w:rPr>
              <w:t>2021年5月22日</w:t>
            </w:r>
            <w:r>
              <w:rPr>
                <w:rFonts w:hint="eastAsia"/>
                <w:szCs w:val="21"/>
                <w:highlight w:val="none"/>
              </w:rPr>
              <w:t>进行了合规性评价</w:t>
            </w:r>
          </w:p>
          <w:p>
            <w:pPr>
              <w:spacing w:line="400" w:lineRule="exact"/>
              <w:rPr>
                <w:rFonts w:ascii="宋体" w:hAnsi="宋体"/>
                <w:szCs w:val="21"/>
                <w:highlight w:val="none"/>
              </w:rPr>
            </w:pPr>
          </w:p>
        </w:tc>
        <w:tc>
          <w:tcPr>
            <w:tcW w:w="1003" w:type="dxa"/>
          </w:tcPr>
          <w:p>
            <w:pPr>
              <w:adjustRightInd w:val="0"/>
              <w:snapToGrid w:val="0"/>
              <w:rPr>
                <w:rFonts w:ascii="宋体" w:hAnsi="宋体" w:cs="宋体"/>
                <w:szCs w:val="21"/>
              </w:rPr>
            </w:pPr>
            <w:r>
              <w:rPr>
                <w:rFonts w:hint="eastAsia" w:ascii="宋体" w:hAnsi="宋体"/>
                <w:szCs w:val="21"/>
                <w:lang w:eastAsia="zh-CN"/>
              </w:rPr>
              <w:t>E</w:t>
            </w:r>
            <w:r>
              <w:rPr>
                <w:rFonts w:hint="eastAsia" w:ascii="宋体" w:hAnsi="宋体"/>
                <w:szCs w:val="21"/>
              </w:rPr>
              <w:t>:6.1.3、9.1.2</w:t>
            </w:r>
          </w:p>
          <w:p>
            <w:pPr>
              <w:spacing w:line="440" w:lineRule="exact"/>
              <w:jc w:val="center"/>
              <w:rPr>
                <w:rFonts w:ascii="宋体" w:hAnsi="宋体"/>
                <w:szCs w:val="21"/>
              </w:rPr>
            </w:pPr>
          </w:p>
        </w:tc>
        <w:tc>
          <w:tcPr>
            <w:tcW w:w="851" w:type="dxa"/>
            <w:gridSpan w:val="2"/>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gridSpan w:val="2"/>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应急管理</w:t>
            </w:r>
          </w:p>
        </w:tc>
        <w:tc>
          <w:tcPr>
            <w:tcW w:w="9579" w:type="dxa"/>
            <w:gridSpan w:val="2"/>
          </w:tcPr>
          <w:p>
            <w:pPr>
              <w:spacing w:line="420" w:lineRule="exact"/>
              <w:rPr>
                <w:rFonts w:hint="eastAsia" w:ascii="宋体" w:hAnsi="宋体" w:cs="Times New Roman"/>
                <w:spacing w:val="-8"/>
                <w:szCs w:val="21"/>
                <w:lang w:val="en-US" w:eastAsia="zh-CN"/>
              </w:rPr>
            </w:pPr>
            <w:r>
              <w:rPr>
                <w:rFonts w:hint="eastAsia" w:ascii="宋体" w:hAnsi="宋体" w:cs="Times New Roman"/>
                <w:spacing w:val="-8"/>
                <w:szCs w:val="21"/>
                <w:lang w:val="en-US" w:eastAsia="zh-CN"/>
              </w:rPr>
              <w:t>小容量注射剂生产：原辅料→配液→ 灌装→灭菌→检漏→灯检→包装</w:t>
            </w:r>
          </w:p>
          <w:p>
            <w:pPr>
              <w:spacing w:line="420" w:lineRule="exact"/>
              <w:rPr>
                <w:rFonts w:hint="eastAsia" w:ascii="宋体" w:hAnsi="宋体" w:cs="Times New Roman"/>
                <w:spacing w:val="-8"/>
                <w:szCs w:val="21"/>
                <w:lang w:val="en-US" w:eastAsia="zh-CN"/>
              </w:rPr>
            </w:pPr>
            <w:r>
              <w:rPr>
                <w:rFonts w:hint="eastAsia" w:ascii="宋体" w:hAnsi="宋体"/>
                <w:szCs w:val="21"/>
                <w:highlight w:val="none"/>
              </w:rPr>
              <w:t>无</w:t>
            </w:r>
            <w:r>
              <w:rPr>
                <w:rFonts w:hint="eastAsia" w:ascii="宋体" w:hAnsi="宋体" w:cs="Times New Roman"/>
                <w:spacing w:val="-8"/>
                <w:szCs w:val="21"/>
                <w:lang w:val="en-US" w:eastAsia="zh-CN"/>
              </w:rPr>
              <w:t>外包</w:t>
            </w:r>
          </w:p>
          <w:p>
            <w:pPr>
              <w:spacing w:line="420" w:lineRule="exact"/>
              <w:rPr>
                <w:rFonts w:hint="default" w:ascii="宋体" w:hAnsi="宋体" w:cs="Times New Roman"/>
                <w:spacing w:val="-8"/>
                <w:szCs w:val="21"/>
                <w:lang w:val="en-US" w:eastAsia="zh-CN"/>
              </w:rPr>
            </w:pPr>
            <w:r>
              <w:rPr>
                <w:rFonts w:hint="eastAsia" w:ascii="宋体" w:hAnsi="宋体" w:cs="Times New Roman"/>
                <w:spacing w:val="-8"/>
                <w:szCs w:val="21"/>
                <w:lang w:val="en-US" w:eastAsia="zh-CN"/>
              </w:rPr>
              <w:t>1）潜在火灾；2）噪声的排放；3）固体废弃物（含危废）排放；4）废水；5）废气。</w:t>
            </w:r>
          </w:p>
          <w:p>
            <w:pPr>
              <w:spacing w:line="420" w:lineRule="exact"/>
              <w:rPr>
                <w:rFonts w:ascii="宋体" w:hAnsi="宋体"/>
                <w:szCs w:val="21"/>
              </w:rPr>
            </w:pPr>
            <w:r>
              <w:rPr>
                <w:rFonts w:hint="eastAsia" w:ascii="宋体" w:hAnsi="宋体" w:cs="Times New Roman"/>
                <w:spacing w:val="-8"/>
                <w:szCs w:val="21"/>
                <w:lang w:eastAsia="zh-CN"/>
              </w:rPr>
              <w:t>公司拟定有《火灾应急预案》，202</w:t>
            </w:r>
            <w:r>
              <w:rPr>
                <w:rFonts w:hint="eastAsia" w:ascii="宋体" w:hAnsi="宋体" w:cs="Times New Roman"/>
                <w:spacing w:val="-8"/>
                <w:szCs w:val="21"/>
                <w:lang w:val="en-US" w:eastAsia="zh-CN"/>
              </w:rPr>
              <w:t>1</w:t>
            </w:r>
            <w:r>
              <w:rPr>
                <w:rFonts w:hint="eastAsia" w:ascii="宋体" w:hAnsi="宋体" w:cs="Times New Roman"/>
                <w:spacing w:val="-8"/>
                <w:szCs w:val="21"/>
                <w:lang w:eastAsia="zh-CN"/>
              </w:rPr>
              <w:t>年</w:t>
            </w:r>
            <w:r>
              <w:rPr>
                <w:rFonts w:hint="eastAsia" w:ascii="宋体" w:hAnsi="宋体" w:cs="Times New Roman"/>
                <w:spacing w:val="-8"/>
                <w:szCs w:val="21"/>
                <w:lang w:val="en-US" w:eastAsia="zh-CN"/>
              </w:rPr>
              <w:t>3</w:t>
            </w:r>
            <w:r>
              <w:rPr>
                <w:rFonts w:hint="eastAsia" w:ascii="宋体" w:hAnsi="宋体" w:cs="Times New Roman"/>
                <w:spacing w:val="-8"/>
                <w:szCs w:val="21"/>
                <w:lang w:eastAsia="zh-CN"/>
              </w:rPr>
              <w:t>月</w:t>
            </w:r>
            <w:r>
              <w:rPr>
                <w:rFonts w:hint="eastAsia" w:ascii="宋体" w:hAnsi="宋体" w:cs="Times New Roman"/>
                <w:spacing w:val="-8"/>
                <w:szCs w:val="21"/>
                <w:lang w:val="en-US" w:eastAsia="zh-CN"/>
              </w:rPr>
              <w:t>18</w:t>
            </w:r>
            <w:r>
              <w:rPr>
                <w:rFonts w:hint="eastAsia" w:ascii="宋体" w:hAnsi="宋体" w:cs="Times New Roman"/>
                <w:spacing w:val="-8"/>
                <w:szCs w:val="21"/>
                <w:lang w:eastAsia="zh-CN"/>
              </w:rPr>
              <w:t>日进行了火灾急救演习。</w:t>
            </w:r>
          </w:p>
        </w:tc>
        <w:tc>
          <w:tcPr>
            <w:tcW w:w="1003" w:type="dxa"/>
          </w:tcPr>
          <w:p>
            <w:pPr>
              <w:adjustRightInd w:val="0"/>
              <w:snapToGrid w:val="0"/>
              <w:rPr>
                <w:rFonts w:ascii="宋体" w:hAnsi="宋体"/>
                <w:szCs w:val="21"/>
              </w:rPr>
            </w:pPr>
            <w:r>
              <w:rPr>
                <w:rFonts w:hint="eastAsia" w:ascii="宋体" w:hAnsi="宋体"/>
                <w:szCs w:val="21"/>
                <w:lang w:eastAsia="zh-CN"/>
              </w:rPr>
              <w:t>E</w:t>
            </w:r>
            <w:r>
              <w:rPr>
                <w:rFonts w:hint="eastAsia" w:ascii="宋体" w:hAnsi="宋体"/>
                <w:szCs w:val="21"/>
              </w:rPr>
              <w:t>:8.1、8.2;</w:t>
            </w:r>
          </w:p>
          <w:p>
            <w:pPr>
              <w:adjustRightInd w:val="0"/>
              <w:snapToGrid w:val="0"/>
              <w:rPr>
                <w:rFonts w:ascii="宋体" w:hAnsi="宋体"/>
                <w:szCs w:val="21"/>
              </w:rPr>
            </w:pPr>
            <w:r>
              <w:rPr>
                <w:rFonts w:hint="eastAsia" w:ascii="宋体" w:hAnsi="宋体"/>
                <w:szCs w:val="21"/>
              </w:rPr>
              <w:t>E;6.1.2</w:t>
            </w:r>
          </w:p>
        </w:tc>
        <w:tc>
          <w:tcPr>
            <w:tcW w:w="851" w:type="dxa"/>
            <w:gridSpan w:val="2"/>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gridSpan w:val="2"/>
          </w:tcPr>
          <w:p>
            <w:pPr>
              <w:spacing w:line="400" w:lineRule="exact"/>
              <w:rPr>
                <w:rFonts w:hint="eastAsia" w:ascii="宋体" w:hAnsi="宋体"/>
                <w:szCs w:val="21"/>
                <w:highlight w:val="none"/>
                <w:u w:val="single"/>
              </w:rPr>
            </w:pPr>
            <w:r>
              <w:rPr>
                <w:rFonts w:hint="eastAsia" w:ascii="宋体" w:hAnsi="宋体"/>
                <w:szCs w:val="21"/>
                <w:highlight w:val="none"/>
                <w:u w:val="single"/>
              </w:rPr>
              <w:t>员工人数</w:t>
            </w:r>
          </w:p>
          <w:p>
            <w:pPr>
              <w:spacing w:line="400" w:lineRule="exact"/>
              <w:rPr>
                <w:rFonts w:hint="eastAsia" w:ascii="宋体" w:hAnsi="宋体"/>
                <w:szCs w:val="21"/>
                <w:highlight w:val="none"/>
                <w:u w:val="single"/>
              </w:rPr>
            </w:pPr>
          </w:p>
          <w:p>
            <w:pPr>
              <w:spacing w:line="400" w:lineRule="exact"/>
              <w:rPr>
                <w:rFonts w:hint="eastAsia" w:ascii="宋体" w:hAnsi="宋体"/>
                <w:szCs w:val="21"/>
                <w:highlight w:val="none"/>
                <w:u w:val="single"/>
              </w:rPr>
            </w:pPr>
          </w:p>
          <w:p>
            <w:pPr>
              <w:spacing w:line="400" w:lineRule="exact"/>
              <w:rPr>
                <w:rFonts w:ascii="宋体" w:hAnsi="宋体"/>
                <w:szCs w:val="21"/>
                <w:highlight w:val="none"/>
              </w:rPr>
            </w:pPr>
            <w:r>
              <w:rPr>
                <w:rFonts w:hint="eastAsia" w:ascii="宋体" w:hAnsi="宋体"/>
                <w:szCs w:val="21"/>
                <w:highlight w:val="none"/>
              </w:rPr>
              <w:t>关键岗位持证上岗人员</w:t>
            </w:r>
          </w:p>
          <w:p>
            <w:pPr>
              <w:spacing w:line="400" w:lineRule="exact"/>
              <w:rPr>
                <w:rFonts w:ascii="宋体" w:hAnsi="宋体"/>
                <w:szCs w:val="21"/>
                <w:highlight w:val="none"/>
              </w:rPr>
            </w:pPr>
            <w:r>
              <w:rPr>
                <w:rFonts w:hint="eastAsia" w:ascii="宋体" w:hAnsi="宋体"/>
                <w:szCs w:val="21"/>
                <w:highlight w:val="none"/>
              </w:rPr>
              <w:t>特殊工种人员</w:t>
            </w:r>
          </w:p>
        </w:tc>
        <w:tc>
          <w:tcPr>
            <w:tcW w:w="9579" w:type="dxa"/>
            <w:gridSpan w:val="2"/>
          </w:tcPr>
          <w:p>
            <w:pPr>
              <w:spacing w:line="400" w:lineRule="exact"/>
              <w:jc w:val="left"/>
              <w:rPr>
                <w:rFonts w:hint="eastAsia" w:ascii="宋体" w:hAnsi="宋体"/>
                <w:szCs w:val="21"/>
                <w:highlight w:val="none"/>
                <w:lang w:val="en-US" w:eastAsia="zh-CN"/>
              </w:rPr>
            </w:pPr>
            <w:r>
              <w:rPr>
                <w:rFonts w:hint="eastAsia" w:ascii="宋体" w:hAnsi="宋体"/>
                <w:szCs w:val="21"/>
                <w:highlight w:val="none"/>
              </w:rPr>
              <w:t>经确认，企业人数为</w:t>
            </w:r>
            <w:r>
              <w:rPr>
                <w:rFonts w:hint="eastAsia" w:ascii="宋体" w:hAnsi="宋体"/>
                <w:szCs w:val="21"/>
                <w:highlight w:val="none"/>
                <w:lang w:val="en-US" w:eastAsia="zh-CN"/>
              </w:rPr>
              <w:t>101</w:t>
            </w:r>
            <w:r>
              <w:rPr>
                <w:rFonts w:hint="eastAsia" w:ascii="宋体" w:hAnsi="宋体"/>
                <w:szCs w:val="21"/>
                <w:highlight w:val="none"/>
              </w:rPr>
              <w:t>人，与申报</w:t>
            </w:r>
            <w:r>
              <w:rPr>
                <w:rFonts w:hint="eastAsia" w:ascii="宋体" w:hAnsi="宋体"/>
                <w:szCs w:val="21"/>
                <w:highlight w:val="none"/>
                <w:lang w:val="en-US" w:eastAsia="zh-CN"/>
              </w:rPr>
              <w:t>不</w:t>
            </w:r>
            <w:r>
              <w:rPr>
                <w:rFonts w:hint="eastAsia" w:ascii="宋体" w:hAnsi="宋体"/>
                <w:szCs w:val="21"/>
                <w:highlight w:val="none"/>
              </w:rPr>
              <w:t>一致</w:t>
            </w:r>
            <w:r>
              <w:rPr>
                <w:rFonts w:hint="eastAsia" w:ascii="宋体" w:hAnsi="宋体"/>
                <w:szCs w:val="21"/>
                <w:highlight w:val="none"/>
                <w:lang w:eastAsia="zh-CN"/>
              </w:rPr>
              <w:t>，</w:t>
            </w:r>
            <w:r>
              <w:rPr>
                <w:rFonts w:hint="eastAsia" w:ascii="宋体" w:hAnsi="宋体"/>
                <w:szCs w:val="21"/>
                <w:highlight w:val="none"/>
                <w:lang w:val="en-US" w:eastAsia="zh-CN"/>
              </w:rPr>
              <w:t>已做变更，变更内容为：</w:t>
            </w:r>
          </w:p>
          <w:p>
            <w:pPr>
              <w:spacing w:line="400" w:lineRule="exact"/>
              <w:jc w:val="left"/>
              <w:rPr>
                <w:rFonts w:hint="default" w:eastAsia="宋体"/>
                <w:szCs w:val="21"/>
                <w:highlight w:val="none"/>
                <w:lang w:val="en-US" w:eastAsia="zh-CN"/>
              </w:rPr>
            </w:pPr>
            <w:r>
              <w:rPr>
                <w:rFonts w:hint="eastAsia"/>
                <w:szCs w:val="21"/>
                <w:highlight w:val="none"/>
                <w:lang w:val="en-US" w:eastAsia="zh-CN"/>
              </w:rPr>
              <w:t>原总人数、体系人数：85人；变更后总人数、体系人数：总人数101人、体系人数101人。。</w:t>
            </w:r>
          </w:p>
          <w:p>
            <w:pPr>
              <w:spacing w:line="400" w:lineRule="exact"/>
              <w:rPr>
                <w:rFonts w:hint="eastAsia"/>
                <w:szCs w:val="21"/>
                <w:highlight w:val="none"/>
                <w:lang w:val="en-US" w:eastAsia="zh-CN"/>
              </w:rPr>
            </w:pPr>
          </w:p>
          <w:p>
            <w:pPr>
              <w:spacing w:line="400" w:lineRule="exact"/>
              <w:rPr>
                <w:szCs w:val="21"/>
                <w:highlight w:val="none"/>
              </w:rPr>
            </w:pPr>
            <w:r>
              <w:rPr>
                <w:rFonts w:hint="eastAsia"/>
                <w:szCs w:val="21"/>
                <w:highlight w:val="none"/>
                <w:lang w:val="en-US" w:eastAsia="zh-CN"/>
              </w:rPr>
              <w:t>电工、压力容器操作工</w:t>
            </w:r>
            <w:r>
              <w:rPr>
                <w:rFonts w:hint="eastAsia"/>
                <w:szCs w:val="21"/>
                <w:highlight w:val="none"/>
              </w:rPr>
              <w:t>等</w:t>
            </w:r>
          </w:p>
          <w:p>
            <w:pPr>
              <w:spacing w:line="400" w:lineRule="exact"/>
              <w:rPr>
                <w:rFonts w:hint="default" w:ascii="宋体" w:hAnsi="宋体" w:eastAsia="宋体"/>
                <w:szCs w:val="21"/>
                <w:highlight w:val="none"/>
                <w:lang w:val="en-US" w:eastAsia="zh-CN"/>
              </w:rPr>
            </w:pPr>
            <w:r>
              <w:rPr>
                <w:rFonts w:hint="eastAsia"/>
                <w:szCs w:val="21"/>
                <w:highlight w:val="none"/>
                <w:lang w:val="en-US" w:eastAsia="zh-CN"/>
              </w:rPr>
              <w:t>电工、压力容器操作工</w:t>
            </w:r>
          </w:p>
        </w:tc>
        <w:tc>
          <w:tcPr>
            <w:tcW w:w="1003" w:type="dxa"/>
          </w:tcPr>
          <w:p>
            <w:pPr>
              <w:spacing w:line="440" w:lineRule="exact"/>
              <w:jc w:val="left"/>
              <w:rPr>
                <w:rFonts w:ascii="宋体" w:hAnsi="宋体"/>
                <w:szCs w:val="21"/>
              </w:rPr>
            </w:pPr>
            <w:r>
              <w:rPr>
                <w:rFonts w:hint="eastAsia" w:ascii="宋体" w:hAnsi="宋体"/>
                <w:szCs w:val="21"/>
                <w:lang w:eastAsia="zh-CN"/>
              </w:rPr>
              <w:t>E</w:t>
            </w:r>
            <w:r>
              <w:rPr>
                <w:rFonts w:hint="eastAsia" w:ascii="宋体" w:hAnsi="宋体"/>
                <w:szCs w:val="21"/>
              </w:rPr>
              <w:t>:7.2</w:t>
            </w:r>
          </w:p>
        </w:tc>
        <w:tc>
          <w:tcPr>
            <w:tcW w:w="851" w:type="dxa"/>
            <w:gridSpan w:val="2"/>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01" w:type="dxa"/>
            <w:gridSpan w:val="2"/>
          </w:tcPr>
          <w:p>
            <w:pPr>
              <w:spacing w:line="400" w:lineRule="exact"/>
              <w:rPr>
                <w:highlight w:val="none"/>
              </w:rPr>
            </w:pPr>
            <w:r>
              <w:rPr>
                <w:rFonts w:hint="eastAsia" w:ascii="宋体" w:hAnsi="宋体"/>
                <w:szCs w:val="21"/>
                <w:highlight w:val="none"/>
              </w:rPr>
              <w:t>主要生产设备</w:t>
            </w:r>
          </w:p>
          <w:p>
            <w:pPr>
              <w:pStyle w:val="14"/>
              <w:rPr>
                <w:rFonts w:hint="default"/>
                <w:highlight w:val="none"/>
              </w:rPr>
            </w:pPr>
          </w:p>
          <w:p>
            <w:pPr>
              <w:pStyle w:val="14"/>
              <w:rPr>
                <w:rFonts w:hint="default"/>
                <w:highlight w:val="none"/>
              </w:rPr>
            </w:pPr>
          </w:p>
          <w:p>
            <w:pPr>
              <w:spacing w:line="400" w:lineRule="exact"/>
              <w:rPr>
                <w:rFonts w:ascii="宋体" w:hAnsi="宋体"/>
                <w:szCs w:val="21"/>
                <w:highlight w:val="none"/>
              </w:rPr>
            </w:pPr>
            <w:r>
              <w:rPr>
                <w:rFonts w:hint="eastAsia" w:ascii="宋体" w:hAnsi="宋体"/>
                <w:szCs w:val="21"/>
                <w:highlight w:val="none"/>
              </w:rPr>
              <w:t>特种设备</w:t>
            </w:r>
          </w:p>
          <w:p>
            <w:pPr>
              <w:pStyle w:val="14"/>
              <w:rPr>
                <w:rFonts w:hint="default"/>
                <w:highlight w:val="none"/>
              </w:rPr>
            </w:pPr>
          </w:p>
          <w:p>
            <w:pPr>
              <w:spacing w:line="400" w:lineRule="exact"/>
              <w:rPr>
                <w:rFonts w:hint="eastAsia"/>
                <w:szCs w:val="21"/>
                <w:highlight w:val="none"/>
              </w:rPr>
            </w:pPr>
            <w:r>
              <w:rPr>
                <w:rFonts w:hint="eastAsia"/>
                <w:szCs w:val="21"/>
                <w:highlight w:val="none"/>
              </w:rPr>
              <w:t>环保设施（EMS）</w:t>
            </w:r>
          </w:p>
          <w:p>
            <w:pPr>
              <w:spacing w:line="400" w:lineRule="exact"/>
              <w:rPr>
                <w:rFonts w:hint="eastAsia"/>
                <w:szCs w:val="21"/>
                <w:highlight w:val="none"/>
              </w:rPr>
            </w:pPr>
          </w:p>
          <w:p>
            <w:pPr>
              <w:spacing w:line="400" w:lineRule="exact"/>
              <w:rPr>
                <w:szCs w:val="21"/>
                <w:highlight w:val="none"/>
              </w:rPr>
            </w:pPr>
            <w:r>
              <w:rPr>
                <w:rFonts w:hint="eastAsia"/>
                <w:szCs w:val="21"/>
                <w:highlight w:val="none"/>
              </w:rPr>
              <w:t>环保监测设备（EMS）</w:t>
            </w:r>
          </w:p>
        </w:tc>
        <w:tc>
          <w:tcPr>
            <w:tcW w:w="9579" w:type="dxa"/>
            <w:gridSpan w:val="2"/>
          </w:tcPr>
          <w:p>
            <w:pPr>
              <w:spacing w:line="400" w:lineRule="exact"/>
              <w:rPr>
                <w:rFonts w:ascii="宋体" w:hAnsi="宋体" w:cs="宋体"/>
                <w:szCs w:val="21"/>
                <w:highlight w:val="none"/>
              </w:rPr>
            </w:pPr>
            <w:r>
              <w:rPr>
                <w:rFonts w:hint="eastAsia" w:ascii="宋体" w:hAnsi="宋体" w:cs="宋体"/>
                <w:szCs w:val="21"/>
                <w:highlight w:val="none"/>
              </w:rPr>
              <w:t>主要</w:t>
            </w:r>
            <w:r>
              <w:rPr>
                <w:rFonts w:hint="eastAsia" w:ascii="宋体" w:hAnsi="宋体" w:cs="宋体"/>
                <w:szCs w:val="21"/>
                <w:highlight w:val="none"/>
                <w:lang w:val="en-US" w:eastAsia="zh-CN"/>
              </w:rPr>
              <w:t>设备为</w:t>
            </w:r>
            <w:r>
              <w:rPr>
                <w:rFonts w:hint="eastAsia" w:ascii="宋体" w:hAnsi="宋体" w:cs="宋体"/>
                <w:szCs w:val="21"/>
                <w:highlight w:val="none"/>
              </w:rPr>
              <w:t>办公设备为笔记本电脑、台式电脑、打印机、电话等，生产设备为</w:t>
            </w:r>
            <w:r>
              <w:rPr>
                <w:rFonts w:hint="eastAsia" w:ascii="宋体" w:hAnsi="宋体" w:cs="宋体"/>
                <w:szCs w:val="21"/>
                <w:highlight w:val="none"/>
                <w:lang w:val="en-US" w:eastAsia="zh-CN"/>
              </w:rPr>
              <w:t>洗瓶机、灌装机、灭菌柜、装盒机</w:t>
            </w:r>
            <w:r>
              <w:rPr>
                <w:rFonts w:hint="eastAsia" w:ascii="宋体" w:hAnsi="宋体" w:cs="宋体"/>
                <w:szCs w:val="21"/>
                <w:highlight w:val="none"/>
              </w:rPr>
              <w:t>等。</w:t>
            </w:r>
          </w:p>
          <w:p>
            <w:pPr>
              <w:pStyle w:val="14"/>
              <w:rPr>
                <w:rFonts w:hint="default"/>
                <w:highlight w:val="none"/>
              </w:rPr>
            </w:pPr>
          </w:p>
          <w:p>
            <w:pPr>
              <w:spacing w:line="400" w:lineRule="exact"/>
              <w:rPr>
                <w:rFonts w:hint="default" w:ascii="宋体" w:hAnsi="宋体" w:cs="宋体"/>
                <w:szCs w:val="21"/>
                <w:highlight w:val="none"/>
                <w:lang w:val="en-US" w:eastAsia="zh-CN"/>
              </w:rPr>
            </w:pPr>
            <w:bookmarkStart w:id="2" w:name="_GoBack"/>
            <w:r>
              <w:rPr>
                <w:rFonts w:hint="eastAsia" w:ascii="宋体" w:hAnsi="宋体" w:cs="宋体"/>
                <w:szCs w:val="21"/>
                <w:highlight w:val="none"/>
                <w:lang w:val="en-US" w:eastAsia="zh-CN"/>
              </w:rPr>
              <w:t>安全阀、储气罐、压力表</w:t>
            </w:r>
            <w:bookmarkEnd w:id="2"/>
          </w:p>
          <w:p>
            <w:pPr>
              <w:spacing w:line="400" w:lineRule="exact"/>
              <w:rPr>
                <w:rFonts w:hint="eastAsia" w:ascii="宋体" w:hAnsi="宋体" w:cs="宋体"/>
                <w:szCs w:val="21"/>
                <w:highlight w:val="none"/>
                <w:lang w:val="en-US" w:eastAsia="zh-CN"/>
              </w:rPr>
            </w:pPr>
          </w:p>
          <w:p>
            <w:pPr>
              <w:spacing w:line="400" w:lineRule="exact"/>
              <w:rPr>
                <w:szCs w:val="21"/>
                <w:highlight w:val="none"/>
              </w:rPr>
            </w:pPr>
            <w:r>
              <w:rPr>
                <w:rFonts w:hint="eastAsia" w:ascii="宋体" w:hAnsi="宋体" w:cs="宋体"/>
                <w:szCs w:val="21"/>
                <w:highlight w:val="none"/>
                <w:lang w:val="en-US" w:eastAsia="zh-CN"/>
              </w:rPr>
              <w:t>除尘装置、污水处理站等</w:t>
            </w:r>
            <w:r>
              <w:rPr>
                <w:rFonts w:hint="eastAsia"/>
                <w:szCs w:val="21"/>
                <w:highlight w:val="none"/>
              </w:rPr>
              <w:t>。</w:t>
            </w:r>
          </w:p>
          <w:p>
            <w:pPr>
              <w:pStyle w:val="14"/>
              <w:rPr>
                <w:highlight w:val="none"/>
              </w:rPr>
            </w:pPr>
          </w:p>
          <w:p>
            <w:pPr>
              <w:spacing w:line="400" w:lineRule="exact"/>
              <w:rPr>
                <w:rFonts w:hint="eastAsia" w:eastAsia="宋体"/>
                <w:szCs w:val="21"/>
                <w:highlight w:val="none"/>
                <w:lang w:val="en-US" w:eastAsia="zh-CN"/>
              </w:rPr>
            </w:pPr>
            <w:r>
              <w:rPr>
                <w:rFonts w:hint="eastAsia"/>
                <w:szCs w:val="21"/>
                <w:highlight w:val="none"/>
                <w:lang w:val="en-US" w:eastAsia="zh-CN"/>
              </w:rPr>
              <w:t>无</w:t>
            </w:r>
          </w:p>
        </w:tc>
        <w:tc>
          <w:tcPr>
            <w:tcW w:w="1003" w:type="dxa"/>
          </w:tcPr>
          <w:p>
            <w:pPr>
              <w:spacing w:line="440" w:lineRule="exact"/>
              <w:jc w:val="left"/>
              <w:rPr>
                <w:rFonts w:ascii="宋体" w:hAnsi="宋体"/>
                <w:szCs w:val="21"/>
              </w:rPr>
            </w:pPr>
            <w:r>
              <w:rPr>
                <w:rFonts w:hint="eastAsia" w:ascii="宋体" w:hAnsi="宋体"/>
                <w:szCs w:val="21"/>
                <w:lang w:eastAsia="zh-CN"/>
              </w:rPr>
              <w:t>E</w:t>
            </w:r>
            <w:r>
              <w:rPr>
                <w:rFonts w:hint="eastAsia" w:ascii="宋体" w:hAnsi="宋体"/>
                <w:szCs w:val="21"/>
              </w:rPr>
              <w:t>:7.1</w:t>
            </w:r>
          </w:p>
          <w:p>
            <w:pPr>
              <w:spacing w:line="440" w:lineRule="exact"/>
              <w:jc w:val="both"/>
              <w:rPr>
                <w:rFonts w:ascii="宋体" w:hAnsi="宋体"/>
                <w:szCs w:val="21"/>
                <w:highlight w:val="green"/>
              </w:rPr>
            </w:pPr>
          </w:p>
          <w:p>
            <w:pPr>
              <w:spacing w:line="440" w:lineRule="exact"/>
              <w:rPr>
                <w:rFonts w:ascii="宋体" w:hAnsi="宋体"/>
                <w:szCs w:val="21"/>
                <w:highlight w:val="green"/>
              </w:rPr>
            </w:pPr>
          </w:p>
        </w:tc>
        <w:tc>
          <w:tcPr>
            <w:tcW w:w="851" w:type="dxa"/>
            <w:gridSpan w:val="2"/>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highlight w:val="green"/>
              </w:rPr>
            </w:pPr>
            <w:r>
              <w:rPr>
                <w:rFonts w:hint="eastAsia" w:ascii="宋体" w:hAnsi="宋体"/>
                <w:szCs w:val="21"/>
              </w:rPr>
              <w:t>符合</w:t>
            </w: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01" w:type="dxa"/>
            <w:gridSpan w:val="2"/>
          </w:tcPr>
          <w:p>
            <w:pPr>
              <w:spacing w:line="400" w:lineRule="exact"/>
              <w:rPr>
                <w:rFonts w:ascii="宋体" w:hAnsi="宋体"/>
                <w:szCs w:val="21"/>
                <w:highlight w:val="none"/>
              </w:rPr>
            </w:pPr>
            <w:r>
              <w:rPr>
                <w:rFonts w:hint="eastAsia" w:ascii="宋体" w:hAnsi="宋体"/>
                <w:szCs w:val="21"/>
                <w:highlight w:val="none"/>
              </w:rPr>
              <w:t>周边环境（EMS）</w:t>
            </w:r>
          </w:p>
          <w:p>
            <w:pPr>
              <w:spacing w:line="400" w:lineRule="exact"/>
              <w:rPr>
                <w:rFonts w:ascii="宋体" w:hAnsi="宋体"/>
                <w:szCs w:val="21"/>
                <w:highlight w:val="none"/>
              </w:rPr>
            </w:pPr>
            <w:r>
              <w:rPr>
                <w:rFonts w:hint="eastAsia" w:ascii="宋体" w:hAnsi="宋体"/>
                <w:szCs w:val="21"/>
                <w:highlight w:val="none"/>
              </w:rPr>
              <w:t>场区布局（一级风险）</w:t>
            </w:r>
          </w:p>
          <w:p>
            <w:pPr>
              <w:spacing w:line="400" w:lineRule="exact"/>
              <w:rPr>
                <w:rFonts w:ascii="宋体" w:hAnsi="宋体"/>
                <w:szCs w:val="21"/>
                <w:highlight w:val="none"/>
              </w:rPr>
            </w:pPr>
            <w:r>
              <w:rPr>
                <w:rFonts w:hint="eastAsia" w:ascii="宋体" w:hAnsi="宋体"/>
                <w:szCs w:val="21"/>
                <w:highlight w:val="none"/>
              </w:rPr>
              <w:t>排污口及排污管网（一级风险）</w:t>
            </w:r>
          </w:p>
          <w:p>
            <w:pPr>
              <w:spacing w:line="400" w:lineRule="exact"/>
              <w:rPr>
                <w:rFonts w:ascii="宋体" w:hAnsi="宋体"/>
                <w:szCs w:val="21"/>
                <w:highlight w:val="none"/>
              </w:rPr>
            </w:pPr>
            <w:r>
              <w:rPr>
                <w:rFonts w:hint="eastAsia" w:ascii="宋体" w:hAnsi="宋体"/>
                <w:szCs w:val="21"/>
                <w:highlight w:val="none"/>
              </w:rPr>
              <w:t>关注动力装置场所、危险化学品仓库、固废堆放场所</w:t>
            </w:r>
          </w:p>
        </w:tc>
        <w:tc>
          <w:tcPr>
            <w:tcW w:w="9579" w:type="dxa"/>
            <w:gridSpan w:val="2"/>
          </w:tcPr>
          <w:p>
            <w:pPr>
              <w:spacing w:line="400" w:lineRule="exact"/>
              <w:rPr>
                <w:rFonts w:ascii="宋体" w:hAnsi="宋体"/>
                <w:szCs w:val="21"/>
                <w:highlight w:val="none"/>
              </w:rPr>
            </w:pPr>
            <w:r>
              <w:rPr>
                <w:rFonts w:hint="eastAsia" w:ascii="宋体" w:hAnsi="宋体"/>
                <w:szCs w:val="21"/>
                <w:highlight w:val="none"/>
                <w:lang w:val="en-US" w:eastAsia="zh-CN"/>
              </w:rPr>
              <w:t>工业园区内</w:t>
            </w:r>
            <w:r>
              <w:rPr>
                <w:rFonts w:hint="eastAsia" w:ascii="宋体" w:hAnsi="宋体"/>
                <w:szCs w:val="21"/>
                <w:highlight w:val="none"/>
              </w:rPr>
              <w:t>。</w:t>
            </w:r>
          </w:p>
          <w:p>
            <w:pPr>
              <w:spacing w:line="400" w:lineRule="exact"/>
              <w:rPr>
                <w:rFonts w:ascii="宋体" w:hAnsi="宋体"/>
                <w:szCs w:val="21"/>
                <w:highlight w:val="none"/>
              </w:rPr>
            </w:pPr>
          </w:p>
          <w:p>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提供危险化学品仓库及固废堆放场所，现场标识清楚。</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gridSpan w:val="2"/>
          </w:tcPr>
          <w:p>
            <w:pPr>
              <w:spacing w:line="400" w:lineRule="exact"/>
              <w:rPr>
                <w:rFonts w:ascii="宋体" w:hAnsi="宋体"/>
                <w:szCs w:val="21"/>
              </w:rPr>
            </w:pPr>
            <w:r>
              <w:rPr>
                <w:rFonts w:hint="eastAsia" w:ascii="宋体" w:hAnsi="宋体"/>
                <w:szCs w:val="21"/>
              </w:rPr>
              <w:t>顾客及相关方投诉</w:t>
            </w:r>
          </w:p>
        </w:tc>
        <w:tc>
          <w:tcPr>
            <w:tcW w:w="9579" w:type="dxa"/>
            <w:gridSpan w:val="2"/>
          </w:tcPr>
          <w:p>
            <w:pPr>
              <w:spacing w:line="400" w:lineRule="exact"/>
              <w:rPr>
                <w:rFonts w:ascii="宋体" w:hAnsi="宋体"/>
                <w:szCs w:val="21"/>
              </w:rPr>
            </w:pPr>
            <w:r>
              <w:rPr>
                <w:rFonts w:hint="eastAsia" w:ascii="宋体" w:hAnsi="宋体"/>
                <w:szCs w:val="21"/>
              </w:rPr>
              <w:t>相关方有顾客、供方、政府部门、审核机构、员工等，暂无相关投诉</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gridSpan w:val="2"/>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579" w:type="dxa"/>
            <w:gridSpan w:val="2"/>
          </w:tcPr>
          <w:p>
            <w:pPr>
              <w:adjustRightInd w:val="0"/>
              <w:snapToGrid w:val="0"/>
              <w:rPr>
                <w:rFonts w:ascii="宋体" w:hAnsi="宋体"/>
                <w:szCs w:val="21"/>
              </w:rPr>
            </w:pPr>
            <w:r>
              <w:rPr>
                <w:rFonts w:hint="eastAsia" w:ascii="宋体" w:hAnsi="宋体"/>
                <w:szCs w:val="21"/>
              </w:rPr>
              <w:t>通过一阶段对受审核方的管理、办公场所、生产场所巡视和观察，对管理体系绩效要求有重大影响的过程、活动、场所和现场运行进行观察、巡视及总体性评价，组织具备二阶段审核条件，可进行二阶段审核。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二阶段环境管理体系宜重点关注（生产制造环境</w:t>
            </w:r>
            <w:r>
              <w:rPr>
                <w:rFonts w:hint="eastAsia" w:ascii="宋体" w:hAnsi="宋体"/>
                <w:szCs w:val="21"/>
                <w:lang w:val="en-US" w:eastAsia="zh-CN"/>
              </w:rPr>
              <w:t>保护</w:t>
            </w:r>
            <w:r>
              <w:rPr>
                <w:rFonts w:hint="eastAsia" w:ascii="宋体" w:hAnsi="宋体"/>
                <w:szCs w:val="21"/>
              </w:rPr>
              <w:t>等）</w:t>
            </w:r>
          </w:p>
          <w:p>
            <w:pPr>
              <w:adjustRightInd w:val="0"/>
              <w:snapToGrid w:val="0"/>
              <w:rPr>
                <w:rFonts w:ascii="宋体" w:hAnsi="宋体"/>
                <w:szCs w:val="21"/>
              </w:rPr>
            </w:pPr>
            <w:r>
              <w:rPr>
                <w:rFonts w:hint="eastAsia" w:ascii="宋体" w:hAnsi="宋体"/>
                <w:szCs w:val="21"/>
              </w:rPr>
              <w:t>重点审核</w:t>
            </w:r>
            <w:r>
              <w:rPr>
                <w:rFonts w:hint="eastAsia" w:ascii="宋体" w:hAnsi="宋体" w:cs="Times New Roman"/>
                <w:szCs w:val="21"/>
              </w:rPr>
              <w:t>部门：</w:t>
            </w:r>
            <w:r>
              <w:rPr>
                <w:rFonts w:hint="eastAsia" w:ascii="宋体" w:hAnsi="宋体" w:cs="Times New Roman"/>
                <w:szCs w:val="21"/>
                <w:lang w:eastAsia="zh-CN"/>
              </w:rPr>
              <w:t>市场部、</w:t>
            </w:r>
            <w:r>
              <w:rPr>
                <w:rFonts w:hint="eastAsia" w:ascii="宋体" w:hAnsi="宋体" w:cs="Times New Roman"/>
                <w:szCs w:val="21"/>
              </w:rPr>
              <w:t>生产部</w:t>
            </w:r>
            <w:r>
              <w:rPr>
                <w:rFonts w:hint="eastAsia" w:ascii="宋体" w:hAnsi="宋体" w:cs="Times New Roman"/>
                <w:szCs w:val="21"/>
                <w:lang w:eastAsia="zh-CN"/>
              </w:rPr>
              <w:t>、质量</w:t>
            </w:r>
            <w:r>
              <w:rPr>
                <w:rFonts w:hint="eastAsia" w:ascii="宋体" w:hAnsi="宋体" w:cs="Times New Roman"/>
                <w:szCs w:val="21"/>
                <w:lang w:val="en-US" w:eastAsia="zh-CN"/>
              </w:rPr>
              <w:t>部</w:t>
            </w:r>
            <w:r>
              <w:rPr>
                <w:rFonts w:hint="eastAsia" w:ascii="宋体" w:hAnsi="宋体" w:cs="Times New Roman"/>
                <w:szCs w:val="21"/>
              </w:rPr>
              <w:t>。</w:t>
            </w:r>
          </w:p>
          <w:p>
            <w:pPr>
              <w:adjustRightInd w:val="0"/>
              <w:snapToGrid w:val="0"/>
              <w:rPr>
                <w:rFonts w:ascii="宋体" w:hAnsi="宋体"/>
                <w:szCs w:val="21"/>
              </w:rPr>
            </w:pPr>
            <w:r>
              <w:rPr>
                <w:rFonts w:hint="eastAsia" w:ascii="宋体" w:hAnsi="宋体"/>
                <w:szCs w:val="21"/>
              </w:rPr>
              <w:t>重点审核过程：生产和服务提供控制、</w:t>
            </w:r>
            <w:r>
              <w:rPr>
                <w:rFonts w:hint="eastAsia" w:ascii="宋体" w:hAnsi="宋体"/>
                <w:szCs w:val="21"/>
                <w:lang w:val="en-US" w:eastAsia="zh-CN"/>
              </w:rPr>
              <w:t>环保监控</w:t>
            </w:r>
            <w:r>
              <w:rPr>
                <w:rFonts w:hint="eastAsia" w:ascii="宋体" w:hAnsi="宋体"/>
                <w:szCs w:val="21"/>
              </w:rPr>
              <w:t>等。</w:t>
            </w:r>
          </w:p>
          <w:p>
            <w:pPr>
              <w:adjustRightInd w:val="0"/>
              <w:snapToGrid w:val="0"/>
              <w:rPr>
                <w:rFonts w:ascii="宋体" w:hAnsi="宋体"/>
                <w:kern w:val="0"/>
                <w:szCs w:val="21"/>
              </w:rPr>
            </w:pPr>
            <w:r>
              <w:rPr>
                <w:rFonts w:hint="eastAsia" w:ascii="宋体" w:hAnsi="宋体"/>
                <w:szCs w:val="21"/>
              </w:rPr>
              <w:t>重点审核场所：办公场所、生产场所。</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p>
        </w:tc>
      </w:tr>
    </w:tbl>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2280E"/>
    <w:multiLevelType w:val="singleLevel"/>
    <w:tmpl w:val="57B228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7E354F"/>
    <w:rsid w:val="25380B24"/>
    <w:rsid w:val="37D43729"/>
    <w:rsid w:val="74913FB5"/>
    <w:rsid w:val="7DC03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占位符文本1"/>
    <w:semiHidden/>
    <w:qFormat/>
    <w:uiPriority w:val="99"/>
    <w:rPr>
      <w:color w:val="808080"/>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2021-06-26T05:53:06Z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10B55ADEF0884CB8BF90C29C93A7616E</vt:lpwstr>
  </property>
</Properties>
</file>