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成都市海通药业有限公司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13.02.00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小容量注射剂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生产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：原辅料→配液→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灌装→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灭菌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→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检漏</w:t>
            </w:r>
            <w:r>
              <w:rPr>
                <w:rFonts w:hint="default" w:eastAsia="宋体"/>
                <w:b/>
                <w:sz w:val="20"/>
                <w:lang w:val="en-US" w:eastAsia="zh-CN"/>
              </w:rPr>
              <w:t>→灯检→包</w:t>
            </w:r>
            <w:r>
              <w:rPr>
                <w:rFonts w:hint="eastAsia"/>
                <w:b/>
                <w:sz w:val="20"/>
                <w:lang w:val="en-US" w:eastAsia="zh-CN"/>
              </w:rPr>
              <w:t>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重要环境因素：1）潜在火灾爆炸 ；2）噪声的排放；3）固体废弃物（含危废）排放；4）废水；5）</w:t>
            </w:r>
            <w:r>
              <w:rPr>
                <w:rFonts w:hint="eastAsia"/>
                <w:b/>
                <w:sz w:val="20"/>
                <w:lang w:val="en-US" w:eastAsia="zh-CN"/>
              </w:rPr>
              <w:t>废气</w:t>
            </w:r>
            <w:bookmarkStart w:id="6" w:name="_GoBack"/>
            <w:bookmarkEnd w:id="6"/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  <w:r>
              <w:rPr>
                <w:rFonts w:hint="eastAsia"/>
                <w:b/>
                <w:sz w:val="20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中华人民共和国固体废物污染环境防治法、中华人民共和国环境噪声污染防治法、中华人民共和国大气污染防治法、中华人民共和国节约能源法、环境空气质量标准 GB3095-2012、大气污染物综合排放标准 GB16297-1996、污水综合排放标准 GB8978-1996、工业企业厂界环境噪声排放标准 GB12348-2008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166370</wp:posOffset>
            </wp:positionV>
            <wp:extent cx="544830" cy="248920"/>
            <wp:effectExtent l="0" t="0" r="3810" b="10160"/>
            <wp:wrapNone/>
            <wp:docPr id="8" name="图片 8" descr="87ac17c702f787ebcb7b5ad453f9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7ac17c702f787ebcb7b5ad453f94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4445</wp:posOffset>
            </wp:positionV>
            <wp:extent cx="544830" cy="248920"/>
            <wp:effectExtent l="0" t="0" r="3810" b="10160"/>
            <wp:wrapNone/>
            <wp:docPr id="1" name="图片 1" descr="87ac17c702f787ebcb7b5ad453f9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ac17c702f787ebcb7b5ad453f94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2021年6月22日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2021年6月22日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4356D0C"/>
    <w:rsid w:val="24CE5DBB"/>
    <w:rsid w:val="57FE2031"/>
    <w:rsid w:val="62DC3609"/>
    <w:rsid w:val="6EDF2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2021-06-25T08:58:10Z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FE879770DC994667BCD8B1D448368984</vt:lpwstr>
  </property>
</Properties>
</file>