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四川省什邡市农科化工有限公司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ind w:firstLine="231" w:firstLineChars="1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highlight w:val="none"/>
                <w:lang w:val="en-US" w:eastAsia="zh-CN"/>
              </w:rPr>
              <w:t>查不能提供</w:t>
            </w:r>
            <w:r>
              <w:rPr>
                <w:rFonts w:hint="eastAsia" w:ascii="宋体" w:hAnsi="宋体"/>
                <w:b/>
                <w:bCs w:val="0"/>
                <w:szCs w:val="21"/>
                <w:highlight w:val="none"/>
              </w:rPr>
              <w:t>锅炉</w:t>
            </w:r>
            <w:r>
              <w:rPr>
                <w:rFonts w:hint="eastAsia" w:ascii="宋体" w:hAnsi="宋体"/>
                <w:b/>
                <w:bCs w:val="0"/>
                <w:szCs w:val="21"/>
                <w:highlight w:val="none"/>
                <w:lang w:val="en-US" w:eastAsia="zh-CN"/>
              </w:rPr>
              <w:t>水质有效的检测报告，不符合标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bCs w:val="0"/>
                <w:szCs w:val="21"/>
                <w:highlight w:val="none"/>
                <w:lang w:val="en-US" w:eastAsia="zh-CN"/>
              </w:rPr>
              <w:t>准7.1.3条款：组织应确定、提供和维护所需的基础设施，以运行过程，并获得合格产品和服务。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155575</wp:posOffset>
                  </wp:positionV>
                  <wp:extent cx="323850" cy="335280"/>
                  <wp:effectExtent l="0" t="0" r="6350" b="7620"/>
                  <wp:wrapNone/>
                  <wp:docPr id="3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3003550</wp:posOffset>
                  </wp:positionH>
                  <wp:positionV relativeFrom="paragraph">
                    <wp:posOffset>15875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3765550</wp:posOffset>
                  </wp:positionH>
                  <wp:positionV relativeFrom="paragraph">
                    <wp:posOffset>65405</wp:posOffset>
                  </wp:positionV>
                  <wp:extent cx="323850" cy="335280"/>
                  <wp:effectExtent l="0" t="0" r="6350" b="762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F75991"/>
    <w:rsid w:val="61B27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2021-06-25T07:09:08Z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8711B0D05715483495604961756EBB89</vt:lpwstr>
  </property>
</Properties>
</file>