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24"/>
        </w:rPr>
      </w:pPr>
      <w:r>
        <w:rPr>
          <w:rFonts w:hint="eastAsia" w:ascii="隶书" w:hAnsi="宋体" w:eastAsia="隶书"/>
          <w:bCs/>
          <w:color w:val="000000"/>
          <w:sz w:val="24"/>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rPr>
            </w:pPr>
            <w:r>
              <w:rPr>
                <w:rFonts w:hint="eastAsia"/>
                <w:sz w:val="24"/>
              </w:rPr>
              <w:t>过程与活动、</w:t>
            </w:r>
          </w:p>
          <w:p>
            <w:pPr>
              <w:jc w:val="center"/>
              <w:rPr>
                <w:sz w:val="24"/>
              </w:rPr>
            </w:pPr>
            <w:r>
              <w:rPr>
                <w:rFonts w:hint="eastAsia"/>
                <w:sz w:val="24"/>
              </w:rPr>
              <w:t>抽样计划</w:t>
            </w:r>
          </w:p>
        </w:tc>
        <w:tc>
          <w:tcPr>
            <w:tcW w:w="960" w:type="dxa"/>
            <w:vMerge w:val="restart"/>
            <w:vAlign w:val="center"/>
          </w:tcPr>
          <w:p>
            <w:pPr>
              <w:rPr>
                <w:sz w:val="24"/>
              </w:rPr>
            </w:pPr>
            <w:r>
              <w:rPr>
                <w:rFonts w:hint="eastAsia"/>
                <w:sz w:val="24"/>
              </w:rPr>
              <w:t>涉及</w:t>
            </w:r>
          </w:p>
          <w:p>
            <w:pPr>
              <w:rPr>
                <w:sz w:val="24"/>
              </w:rPr>
            </w:pPr>
            <w:r>
              <w:rPr>
                <w:rFonts w:hint="eastAsia"/>
                <w:sz w:val="24"/>
              </w:rPr>
              <w:t>条款</w:t>
            </w:r>
          </w:p>
        </w:tc>
        <w:tc>
          <w:tcPr>
            <w:tcW w:w="10004" w:type="dxa"/>
            <w:vAlign w:val="center"/>
          </w:tcPr>
          <w:p>
            <w:pPr>
              <w:rPr>
                <w:sz w:val="24"/>
              </w:rPr>
            </w:pPr>
            <w:r>
              <w:rPr>
                <w:rFonts w:hint="eastAsia"/>
                <w:sz w:val="24"/>
              </w:rPr>
              <w:t>受审核部门：</w:t>
            </w:r>
            <w:r>
              <w:rPr>
                <w:rFonts w:hint="eastAsia"/>
                <w:sz w:val="24"/>
                <w:lang w:val="en-US" w:eastAsia="zh-CN"/>
              </w:rPr>
              <w:t>领导层</w:t>
            </w:r>
            <w:r>
              <w:rPr>
                <w:sz w:val="24"/>
              </w:rPr>
              <w:t xml:space="preserve">         </w:t>
            </w:r>
            <w:r>
              <w:rPr>
                <w:rFonts w:hint="eastAsia"/>
                <w:sz w:val="24"/>
              </w:rPr>
              <w:t>主管领导：</w:t>
            </w:r>
            <w:r>
              <w:rPr>
                <w:rFonts w:hint="eastAsia"/>
                <w:sz w:val="24"/>
                <w:lang w:val="en-US" w:eastAsia="zh-CN"/>
              </w:rPr>
              <w:t>刘健军</w:t>
            </w:r>
            <w:r>
              <w:rPr>
                <w:sz w:val="24"/>
              </w:rPr>
              <w:t xml:space="preserve">    </w:t>
            </w:r>
            <w:r>
              <w:rPr>
                <w:rFonts w:hint="eastAsia"/>
                <w:sz w:val="24"/>
                <w:lang w:val="en-US" w:eastAsia="zh-CN"/>
              </w:rPr>
              <w:t xml:space="preserve"> </w:t>
            </w:r>
            <w:r>
              <w:rPr>
                <w:sz w:val="24"/>
              </w:rPr>
              <w:t xml:space="preserve"> </w:t>
            </w:r>
            <w:r>
              <w:rPr>
                <w:rFonts w:hint="eastAsia"/>
                <w:sz w:val="24"/>
                <w:lang w:val="en-US" w:eastAsia="zh-CN"/>
              </w:rPr>
              <w:t xml:space="preserve">       </w:t>
            </w:r>
            <w:r>
              <w:rPr>
                <w:rFonts w:hint="eastAsia"/>
                <w:sz w:val="24"/>
              </w:rPr>
              <w:t xml:space="preserve">陪同人员： </w:t>
            </w:r>
            <w:r>
              <w:rPr>
                <w:rFonts w:hint="eastAsia"/>
                <w:sz w:val="24"/>
                <w:lang w:val="en-US" w:eastAsia="zh-CN"/>
              </w:rPr>
              <w:t>汪鹏</w:t>
            </w:r>
            <w:r>
              <w:rPr>
                <w:rFonts w:hint="eastAsia"/>
                <w:sz w:val="24"/>
              </w:rPr>
              <w:t xml:space="preserve"> </w:t>
            </w:r>
          </w:p>
        </w:tc>
        <w:tc>
          <w:tcPr>
            <w:tcW w:w="1585" w:type="dxa"/>
            <w:vMerge w:val="restart"/>
            <w:vAlign w:val="center"/>
          </w:tcPr>
          <w:p>
            <w:pPr>
              <w:rPr>
                <w:sz w:val="24"/>
              </w:rPr>
            </w:pPr>
            <w:r>
              <w:rPr>
                <w:rFonts w:hint="eastAsia"/>
                <w:sz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 w:val="24"/>
              </w:rPr>
            </w:pPr>
          </w:p>
        </w:tc>
        <w:tc>
          <w:tcPr>
            <w:tcW w:w="960" w:type="dxa"/>
            <w:vMerge w:val="continue"/>
            <w:vAlign w:val="center"/>
          </w:tcPr>
          <w:p>
            <w:pPr>
              <w:rPr>
                <w:sz w:val="24"/>
              </w:rPr>
            </w:pPr>
          </w:p>
        </w:tc>
        <w:tc>
          <w:tcPr>
            <w:tcW w:w="10004" w:type="dxa"/>
            <w:vAlign w:val="center"/>
          </w:tcPr>
          <w:p>
            <w:pPr>
              <w:spacing w:before="120"/>
              <w:rPr>
                <w:sz w:val="24"/>
              </w:rPr>
            </w:pPr>
            <w:r>
              <w:rPr>
                <w:rFonts w:hint="eastAsia"/>
                <w:sz w:val="24"/>
              </w:rPr>
              <w:t>审核员：</w:t>
            </w:r>
            <w:r>
              <w:rPr>
                <w:rFonts w:hint="eastAsia"/>
                <w:sz w:val="24"/>
                <w:lang w:val="en-US" w:eastAsia="zh-CN"/>
              </w:rPr>
              <w:t>张磊</w:t>
            </w:r>
            <w:r>
              <w:rPr>
                <w:rFonts w:hint="eastAsia"/>
                <w:sz w:val="24"/>
              </w:rPr>
              <w:t xml:space="preserve"> </w:t>
            </w:r>
            <w:r>
              <w:rPr>
                <w:rFonts w:hint="eastAsia"/>
                <w:sz w:val="24"/>
                <w:lang w:val="en-US" w:eastAsia="zh-CN"/>
              </w:rPr>
              <w:t xml:space="preserve">   胡益民</w:t>
            </w:r>
            <w:r>
              <w:rPr>
                <w:sz w:val="24"/>
              </w:rPr>
              <w:t xml:space="preserve">                </w:t>
            </w:r>
            <w:r>
              <w:rPr>
                <w:rFonts w:hint="eastAsia"/>
                <w:sz w:val="24"/>
              </w:rPr>
              <w:t>审核时间：20</w:t>
            </w:r>
            <w:r>
              <w:rPr>
                <w:rFonts w:hint="eastAsia"/>
                <w:sz w:val="24"/>
                <w:lang w:val="en-US" w:eastAsia="zh-CN"/>
              </w:rPr>
              <w:t>20</w:t>
            </w:r>
            <w:r>
              <w:rPr>
                <w:rFonts w:hint="eastAsia"/>
                <w:sz w:val="24"/>
              </w:rPr>
              <w:t>年</w:t>
            </w:r>
            <w:r>
              <w:rPr>
                <w:rFonts w:hint="eastAsia"/>
                <w:sz w:val="24"/>
                <w:lang w:val="en-US" w:eastAsia="zh-CN"/>
              </w:rPr>
              <w:t>4</w:t>
            </w:r>
            <w:r>
              <w:rPr>
                <w:rFonts w:hint="eastAsia"/>
                <w:sz w:val="24"/>
              </w:rPr>
              <w:t>月</w:t>
            </w:r>
            <w:r>
              <w:rPr>
                <w:rFonts w:hint="eastAsia"/>
                <w:sz w:val="24"/>
                <w:lang w:val="en-US" w:eastAsia="zh-CN"/>
              </w:rPr>
              <w:t>5</w:t>
            </w:r>
            <w:r>
              <w:rPr>
                <w:rFonts w:hint="eastAsia"/>
                <w:sz w:val="24"/>
              </w:rPr>
              <w:t>日</w:t>
            </w:r>
          </w:p>
        </w:tc>
        <w:tc>
          <w:tcPr>
            <w:tcW w:w="1585" w:type="dxa"/>
            <w:vMerge w:val="continue"/>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 w:val="24"/>
              </w:rPr>
            </w:pPr>
          </w:p>
        </w:tc>
        <w:tc>
          <w:tcPr>
            <w:tcW w:w="960" w:type="dxa"/>
            <w:vMerge w:val="continue"/>
            <w:vAlign w:val="center"/>
          </w:tcPr>
          <w:p>
            <w:pPr>
              <w:rPr>
                <w:sz w:val="24"/>
              </w:rPr>
            </w:pPr>
          </w:p>
        </w:tc>
        <w:tc>
          <w:tcPr>
            <w:tcW w:w="10004" w:type="dxa"/>
            <w:vAlign w:val="center"/>
          </w:tcPr>
          <w:p>
            <w:pPr>
              <w:rPr>
                <w:sz w:val="24"/>
              </w:rPr>
            </w:pPr>
            <w:r>
              <w:rPr>
                <w:rFonts w:hint="eastAsia"/>
                <w:sz w:val="24"/>
              </w:rPr>
              <w:t>审核条款：</w:t>
            </w:r>
          </w:p>
          <w:p>
            <w:pPr>
              <w:snapToGrid w:val="0"/>
              <w:spacing w:line="280" w:lineRule="exact"/>
              <w:jc w:val="left"/>
              <w:rPr>
                <w:rFonts w:hint="eastAsia" w:ascii="宋体" w:hAnsi="宋体" w:cs="Arial"/>
                <w:bCs/>
                <w:sz w:val="24"/>
                <w:lang w:val="en-US" w:eastAsia="zh-CN"/>
              </w:rPr>
            </w:pPr>
            <w:r>
              <w:rPr>
                <w:rFonts w:hint="eastAsia" w:ascii="宋体" w:hAnsi="宋体" w:cs="Arial"/>
                <w:bCs/>
                <w:sz w:val="24"/>
              </w:rPr>
              <w:t>QMS：</w:t>
            </w:r>
            <w:r>
              <w:rPr>
                <w:rFonts w:hint="eastAsia" w:ascii="宋体" w:hAnsi="宋体" w:cs="Arial"/>
                <w:bCs/>
                <w:sz w:val="24"/>
                <w:lang w:val="en-US" w:eastAsia="zh-CN"/>
              </w:rPr>
              <w:t>4</w:t>
            </w:r>
            <w:r>
              <w:rPr>
                <w:rFonts w:hint="eastAsia" w:ascii="宋体" w:hAnsi="宋体" w:cs="Arial"/>
                <w:bCs/>
                <w:sz w:val="24"/>
              </w:rPr>
              <w:t>、</w:t>
            </w:r>
            <w:r>
              <w:rPr>
                <w:rFonts w:hint="eastAsia" w:ascii="宋体" w:hAnsi="宋体" w:cs="Arial"/>
                <w:bCs/>
                <w:sz w:val="24"/>
                <w:lang w:val="en-US" w:eastAsia="zh-CN"/>
              </w:rPr>
              <w:t>5、</w:t>
            </w:r>
            <w:r>
              <w:rPr>
                <w:rFonts w:hint="eastAsia" w:ascii="宋体" w:hAnsi="宋体" w:cs="Arial"/>
                <w:bCs/>
                <w:sz w:val="24"/>
              </w:rPr>
              <w:t>6、</w:t>
            </w:r>
            <w:r>
              <w:rPr>
                <w:rFonts w:hint="eastAsia" w:ascii="宋体" w:hAnsi="宋体" w:cs="Arial"/>
                <w:bCs/>
                <w:sz w:val="24"/>
                <w:lang w:val="en-US" w:eastAsia="zh-CN"/>
              </w:rPr>
              <w:t>7.1.1、</w:t>
            </w:r>
            <w:r>
              <w:rPr>
                <w:rFonts w:hint="eastAsia" w:ascii="宋体" w:hAnsi="宋体" w:cs="Arial"/>
                <w:bCs/>
                <w:sz w:val="24"/>
              </w:rPr>
              <w:t>7.4、</w:t>
            </w:r>
            <w:r>
              <w:rPr>
                <w:rFonts w:hint="eastAsia" w:ascii="宋体" w:hAnsi="宋体" w:cs="Arial"/>
                <w:bCs/>
                <w:sz w:val="24"/>
                <w:lang w:val="en-US" w:eastAsia="zh-CN"/>
              </w:rPr>
              <w:t>8.3</w:t>
            </w:r>
            <w:r>
              <w:rPr>
                <w:rFonts w:hint="eastAsia" w:ascii="宋体" w:hAnsi="宋体" w:cs="Arial"/>
                <w:bCs/>
                <w:sz w:val="24"/>
              </w:rPr>
              <w:t>、</w:t>
            </w:r>
            <w:r>
              <w:rPr>
                <w:rFonts w:hint="eastAsia" w:ascii="宋体" w:hAnsi="宋体" w:cs="Arial"/>
                <w:bCs/>
                <w:sz w:val="24"/>
                <w:lang w:val="en-US" w:eastAsia="zh-CN"/>
              </w:rPr>
              <w:t>9.1.1</w:t>
            </w:r>
            <w:r>
              <w:rPr>
                <w:rFonts w:hint="eastAsia" w:ascii="宋体" w:hAnsi="宋体" w:cs="Arial"/>
                <w:bCs/>
                <w:sz w:val="24"/>
              </w:rPr>
              <w:t>、</w:t>
            </w:r>
            <w:r>
              <w:rPr>
                <w:rFonts w:hint="eastAsia" w:ascii="宋体" w:hAnsi="宋体" w:cs="Arial"/>
                <w:bCs/>
                <w:sz w:val="24"/>
                <w:lang w:val="en-US" w:eastAsia="zh-CN"/>
              </w:rPr>
              <w:t>9.1</w:t>
            </w:r>
            <w:r>
              <w:rPr>
                <w:rFonts w:hint="eastAsia" w:ascii="宋体" w:hAnsi="宋体" w:cs="Arial"/>
                <w:bCs/>
                <w:sz w:val="24"/>
              </w:rPr>
              <w:t>.3、</w:t>
            </w:r>
            <w:r>
              <w:rPr>
                <w:rFonts w:hint="eastAsia" w:ascii="宋体" w:hAnsi="宋体" w:cs="Arial"/>
                <w:bCs/>
                <w:sz w:val="24"/>
                <w:lang w:val="en-US" w:eastAsia="zh-CN"/>
              </w:rPr>
              <w:t>9.3</w:t>
            </w:r>
            <w:r>
              <w:rPr>
                <w:rFonts w:hint="eastAsia" w:ascii="宋体" w:hAnsi="宋体" w:cs="Arial"/>
                <w:bCs/>
                <w:sz w:val="24"/>
              </w:rPr>
              <w:t>、</w:t>
            </w:r>
            <w:r>
              <w:rPr>
                <w:rFonts w:hint="eastAsia" w:ascii="宋体" w:hAnsi="宋体" w:cs="Arial"/>
                <w:bCs/>
                <w:sz w:val="24"/>
                <w:lang w:val="en-US" w:eastAsia="zh-CN"/>
              </w:rPr>
              <w:t>10.1、10.3</w:t>
            </w:r>
          </w:p>
          <w:p>
            <w:pPr>
              <w:snapToGrid w:val="0"/>
              <w:spacing w:line="280" w:lineRule="exact"/>
              <w:jc w:val="left"/>
              <w:rPr>
                <w:rFonts w:hint="default" w:ascii="宋体" w:hAnsi="宋体" w:cs="Arial"/>
                <w:bCs/>
                <w:sz w:val="24"/>
                <w:lang w:val="en-US" w:eastAsia="zh-CN"/>
              </w:rPr>
            </w:pPr>
          </w:p>
        </w:tc>
        <w:tc>
          <w:tcPr>
            <w:tcW w:w="1585" w:type="dxa"/>
            <w:vMerge w:val="continue"/>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2160" w:type="dxa"/>
            <w:vAlign w:val="center"/>
          </w:tcPr>
          <w:p>
            <w:pPr>
              <w:rPr>
                <w:rFonts w:hint="eastAsia"/>
                <w:sz w:val="24"/>
                <w:lang w:val="en-US" w:eastAsia="zh-CN"/>
              </w:rPr>
            </w:pPr>
            <w:r>
              <w:rPr>
                <w:szCs w:val="21"/>
              </w:rPr>
              <w:t>企业</w:t>
            </w:r>
            <w:r>
              <w:rPr>
                <w:szCs w:val="21"/>
                <w:highlight w:val="none"/>
              </w:rPr>
              <w:t>基本信息（成立日期、位置、资质、认证范围、证书使用情况</w:t>
            </w:r>
            <w:r>
              <w:rPr>
                <w:rFonts w:hint="eastAsia"/>
                <w:szCs w:val="21"/>
                <w:highlight w:val="none"/>
              </w:rPr>
              <w:t>、</w:t>
            </w:r>
            <w:r>
              <w:rPr>
                <w:szCs w:val="21"/>
                <w:highlight w:val="none"/>
              </w:rPr>
              <w:t>是否有被投诉情况、政府主管部门监管情况、组织结构</w:t>
            </w:r>
            <w:r>
              <w:rPr>
                <w:szCs w:val="21"/>
              </w:rPr>
              <w:t>、上次审核的不符合整改情况等）</w:t>
            </w:r>
          </w:p>
        </w:tc>
        <w:tc>
          <w:tcPr>
            <w:tcW w:w="960" w:type="dxa"/>
            <w:vAlign w:val="center"/>
          </w:tcPr>
          <w:p>
            <w:pPr>
              <w:rPr>
                <w:rFonts w:hint="eastAsia"/>
                <w:sz w:val="24"/>
                <w:lang w:val="en-US" w:eastAsia="zh-CN"/>
              </w:rPr>
            </w:pPr>
          </w:p>
        </w:tc>
        <w:tc>
          <w:tcPr>
            <w:tcW w:w="10004" w:type="dxa"/>
            <w:vAlign w:val="center"/>
          </w:tcPr>
          <w:p>
            <w:pPr>
              <w:rPr>
                <w:szCs w:val="21"/>
              </w:rPr>
            </w:pPr>
            <w:r>
              <w:rPr>
                <w:rFonts w:hint="eastAsia"/>
                <w:szCs w:val="21"/>
              </w:rPr>
              <w:t>企业基本信息：</w:t>
            </w:r>
          </w:p>
          <w:p>
            <w:pPr>
              <w:rPr>
                <w:szCs w:val="21"/>
              </w:rPr>
            </w:pPr>
            <w:r>
              <w:rPr>
                <w:rFonts w:hint="eastAsia"/>
                <w:szCs w:val="21"/>
              </w:rPr>
              <w:t>1、</w:t>
            </w:r>
            <w:r>
              <w:rPr>
                <w:rFonts w:hint="eastAsia"/>
                <w:szCs w:val="21"/>
                <w:lang w:val="en-US" w:eastAsia="zh-CN"/>
              </w:rPr>
              <w:t>芜湖腾瑞精密模具有限公司成立于2010年02月04日，注册地位于芜湖市弋江区高新技术开发区中山南路682号，法人代表为刘建军。经营范围包括模具研发制造；冲压件生产；机械、电火花线切割、热处理加工；刃具、刀具、金属材料、模具配件销售。</w:t>
            </w:r>
          </w:p>
          <w:p>
            <w:pPr>
              <w:rPr>
                <w:szCs w:val="21"/>
              </w:rPr>
            </w:pPr>
            <w:r>
              <w:rPr>
                <w:rFonts w:hint="eastAsia"/>
                <w:szCs w:val="21"/>
              </w:rPr>
              <w:t>2、资质：营业执照</w:t>
            </w:r>
            <w:bookmarkStart w:id="0" w:name="机构代码"/>
            <w:r>
              <w:rPr>
                <w:rFonts w:hint="eastAsia"/>
                <w:b/>
                <w:color w:val="000000" w:themeColor="text1"/>
                <w:sz w:val="22"/>
                <w:szCs w:val="22"/>
                <w14:textFill>
                  <w14:solidFill>
                    <w14:schemeClr w14:val="tx1"/>
                  </w14:solidFill>
                </w14:textFill>
              </w:rPr>
              <w:t>913402005501893977</w:t>
            </w:r>
            <w:bookmarkEnd w:id="0"/>
            <w:r>
              <w:rPr>
                <w:rFonts w:hint="eastAsia"/>
                <w:szCs w:val="21"/>
              </w:rPr>
              <w:t>现行有效</w:t>
            </w:r>
          </w:p>
          <w:p>
            <w:pPr>
              <w:rPr>
                <w:rFonts w:ascii="宋体" w:hAnsi="宋体" w:cs="宋体"/>
                <w:color w:val="000000"/>
                <w:kern w:val="0"/>
                <w:szCs w:val="24"/>
              </w:rPr>
            </w:pPr>
            <w:r>
              <w:rPr>
                <w:rFonts w:hint="eastAsia"/>
                <w:szCs w:val="21"/>
              </w:rPr>
              <w:t>3、认证范围：</w:t>
            </w:r>
            <w:r>
              <w:rPr>
                <w:rFonts w:hint="eastAsia" w:ascii="宋体" w:hAnsi="宋体"/>
                <w:color w:val="auto"/>
                <w:lang w:val="en-US" w:eastAsia="zh-CN"/>
              </w:rPr>
              <w:t>模具制造，冲压件生产</w:t>
            </w:r>
            <w:r>
              <w:rPr>
                <w:rFonts w:hint="eastAsia" w:ascii="宋体" w:hAnsi="宋体" w:cs="宋体"/>
                <w:color w:val="000000"/>
                <w:kern w:val="0"/>
                <w:szCs w:val="24"/>
              </w:rPr>
              <w:t xml:space="preserve">  无变化</w:t>
            </w:r>
          </w:p>
          <w:p>
            <w:pPr>
              <w:rPr>
                <w:rFonts w:ascii="宋体" w:hAnsi="宋体" w:cs="宋体"/>
                <w:color w:val="000000"/>
                <w:kern w:val="0"/>
                <w:szCs w:val="24"/>
              </w:rPr>
            </w:pPr>
            <w:r>
              <w:rPr>
                <w:rFonts w:hint="eastAsia" w:ascii="宋体" w:hAnsi="宋体" w:cs="宋体"/>
                <w:color w:val="000000"/>
                <w:kern w:val="0"/>
                <w:szCs w:val="24"/>
              </w:rPr>
              <w:t>4、被投诉情况：无</w:t>
            </w:r>
          </w:p>
          <w:p>
            <w:pPr>
              <w:rPr>
                <w:szCs w:val="21"/>
              </w:rPr>
            </w:pPr>
            <w:r>
              <w:rPr>
                <w:rFonts w:hint="eastAsia" w:ascii="宋体" w:hAnsi="宋体" w:cs="宋体"/>
                <w:color w:val="000000"/>
                <w:kern w:val="0"/>
                <w:szCs w:val="24"/>
              </w:rPr>
              <w:t>5、</w:t>
            </w:r>
            <w:r>
              <w:rPr>
                <w:szCs w:val="21"/>
              </w:rPr>
              <w:t>政府主管部门监管情况：无</w:t>
            </w:r>
          </w:p>
          <w:p>
            <w:pPr>
              <w:rPr>
                <w:szCs w:val="21"/>
              </w:rPr>
            </w:pPr>
            <w:r>
              <w:rPr>
                <w:rFonts w:hint="eastAsia"/>
                <w:szCs w:val="21"/>
              </w:rPr>
              <w:t>6、企业组织结构:管理层、</w:t>
            </w:r>
            <w:r>
              <w:rPr>
                <w:rFonts w:hint="eastAsia" w:ascii="宋体" w:hAnsi="宋体"/>
                <w:color w:val="auto"/>
                <w:lang w:val="en-US" w:eastAsia="zh-CN"/>
              </w:rPr>
              <w:t>办公室、供销部（仓库）、生产部、质管部</w:t>
            </w:r>
          </w:p>
          <w:p>
            <w:pPr>
              <w:rPr>
                <w:rFonts w:hint="default" w:eastAsia="宋体"/>
                <w:szCs w:val="21"/>
                <w:highlight w:val="none"/>
                <w:lang w:val="en-US" w:eastAsia="zh-CN"/>
              </w:rPr>
            </w:pPr>
            <w:r>
              <w:rPr>
                <w:rFonts w:hint="eastAsia"/>
                <w:szCs w:val="21"/>
              </w:rPr>
              <w:t>7、</w:t>
            </w:r>
            <w:r>
              <w:rPr>
                <w:rFonts w:hint="eastAsia"/>
                <w:szCs w:val="21"/>
                <w:lang w:val="en-US" w:eastAsia="zh-CN"/>
              </w:rPr>
              <w:t>第一次监督审核</w:t>
            </w:r>
            <w:r>
              <w:rPr>
                <w:rFonts w:hint="eastAsia"/>
                <w:szCs w:val="21"/>
              </w:rPr>
              <w:t>开具的不符合项</w:t>
            </w:r>
            <w:r>
              <w:rPr>
                <w:rFonts w:hint="eastAsia"/>
                <w:szCs w:val="21"/>
                <w:lang w:eastAsia="zh-CN"/>
              </w:rPr>
              <w:t>，</w:t>
            </w:r>
            <w:r>
              <w:rPr>
                <w:rFonts w:hint="eastAsia"/>
                <w:szCs w:val="21"/>
                <w:lang w:val="en-US" w:eastAsia="zh-CN"/>
              </w:rPr>
              <w:t>现场查看已整改，未重复发生</w:t>
            </w:r>
          </w:p>
          <w:p>
            <w:pPr>
              <w:rPr>
                <w:rFonts w:hint="eastAsia"/>
                <w:szCs w:val="21"/>
                <w:highlight w:val="none"/>
              </w:rPr>
            </w:pPr>
            <w:r>
              <w:rPr>
                <w:rFonts w:hint="eastAsia"/>
                <w:szCs w:val="21"/>
                <w:highlight w:val="none"/>
              </w:rPr>
              <w:t>8、</w:t>
            </w:r>
            <w:r>
              <w:rPr>
                <w:rFonts w:hint="eastAsia"/>
                <w:szCs w:val="21"/>
                <w:highlight w:val="none"/>
                <w:lang w:val="en-US" w:eastAsia="zh-CN"/>
              </w:rPr>
              <w:t>汪</w:t>
            </w:r>
            <w:r>
              <w:rPr>
                <w:rFonts w:hint="eastAsia"/>
                <w:szCs w:val="21"/>
                <w:highlight w:val="none"/>
              </w:rPr>
              <w:t>总介绍，取得证书主要是强化企业质量管理，证书使用情况：主要用于企业宣传和投标。</w:t>
            </w:r>
          </w:p>
          <w:p>
            <w:pPr>
              <w:rPr>
                <w:rFonts w:hint="default" w:eastAsia="宋体"/>
                <w:szCs w:val="21"/>
                <w:highlight w:val="none"/>
                <w:lang w:val="en-US" w:eastAsia="zh-CN"/>
              </w:rPr>
            </w:pPr>
            <w:r>
              <w:rPr>
                <w:rFonts w:hint="eastAsia"/>
                <w:szCs w:val="21"/>
                <w:highlight w:val="none"/>
                <w:lang w:val="en-US" w:eastAsia="zh-CN"/>
              </w:rPr>
              <w:t>经现场确认，远程审核情况与企业实际一致</w:t>
            </w:r>
          </w:p>
        </w:tc>
        <w:tc>
          <w:tcPr>
            <w:tcW w:w="1585" w:type="dxa"/>
          </w:tcPr>
          <w:p>
            <w:pPr>
              <w:rPr>
                <w:rFonts w:hint="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2160" w:type="dxa"/>
          </w:tcPr>
          <w:p>
            <w:pPr>
              <w:rPr>
                <w:rFonts w:hint="default" w:eastAsia="宋体"/>
                <w:sz w:val="24"/>
                <w:lang w:val="en-US" w:eastAsia="zh-CN"/>
              </w:rPr>
            </w:pPr>
            <w:r>
              <w:rPr>
                <w:rFonts w:hint="eastAsia"/>
                <w:sz w:val="24"/>
                <w:lang w:val="en-US" w:eastAsia="zh-CN"/>
              </w:rPr>
              <w:t>理解组织及环境</w:t>
            </w:r>
          </w:p>
        </w:tc>
        <w:tc>
          <w:tcPr>
            <w:tcW w:w="960" w:type="dxa"/>
          </w:tcPr>
          <w:p>
            <w:pPr>
              <w:rPr>
                <w:rFonts w:hint="default" w:eastAsia="宋体"/>
                <w:sz w:val="24"/>
                <w:lang w:val="en-US" w:eastAsia="zh-CN"/>
              </w:rPr>
            </w:pPr>
            <w:r>
              <w:rPr>
                <w:rFonts w:hint="eastAsia"/>
                <w:sz w:val="24"/>
                <w:lang w:val="en-US" w:eastAsia="zh-CN"/>
              </w:rPr>
              <w:t>Q4.1</w:t>
            </w:r>
          </w:p>
        </w:tc>
        <w:tc>
          <w:tcPr>
            <w:tcW w:w="10004" w:type="dxa"/>
          </w:tcPr>
          <w:p>
            <w:pPr>
              <w:rPr>
                <w:rFonts w:hint="default" w:ascii="宋体" w:hAnsi="宋体" w:eastAsia="宋体"/>
                <w:color w:val="auto"/>
                <w:lang w:val="en-US" w:eastAsia="zh-CN"/>
              </w:rPr>
            </w:pPr>
            <w:r>
              <w:rPr>
                <w:rFonts w:hint="eastAsia" w:ascii="宋体" w:hAnsi="宋体"/>
                <w:color w:val="auto"/>
              </w:rPr>
              <w:t xml:space="preserve">总经理: </w:t>
            </w:r>
            <w:r>
              <w:rPr>
                <w:rFonts w:hint="eastAsia" w:ascii="宋体" w:hAnsi="宋体"/>
                <w:color w:val="auto"/>
                <w:lang w:val="en-US" w:eastAsia="zh-CN"/>
              </w:rPr>
              <w:t>刘健军</w:t>
            </w:r>
          </w:p>
          <w:p>
            <w:pPr>
              <w:rPr>
                <w:rFonts w:hint="eastAsia" w:ascii="宋体" w:hAnsi="宋体"/>
                <w:color w:val="auto"/>
                <w:lang w:eastAsia="zh-CN"/>
              </w:rPr>
            </w:pPr>
            <w:r>
              <w:rPr>
                <w:rFonts w:hint="eastAsia" w:ascii="宋体" w:hAnsi="宋体"/>
                <w:color w:val="auto"/>
              </w:rPr>
              <w:t xml:space="preserve">管理者代表: </w:t>
            </w:r>
            <w:r>
              <w:rPr>
                <w:rFonts w:hint="eastAsia" w:ascii="宋体" w:hAnsi="宋体"/>
                <w:color w:val="auto"/>
                <w:lang w:val="en-US" w:eastAsia="zh-CN"/>
              </w:rPr>
              <w:t>汪亮</w:t>
            </w:r>
            <w:r>
              <w:rPr>
                <w:rFonts w:hint="eastAsia" w:ascii="宋体" w:hAnsi="宋体"/>
                <w:color w:val="auto"/>
              </w:rPr>
              <w:t>，知晓除本身工作职责外，管理体系还赋予其职责和权限</w:t>
            </w:r>
            <w:r>
              <w:rPr>
                <w:rFonts w:hint="eastAsia" w:ascii="宋体" w:hAnsi="宋体"/>
                <w:color w:val="auto"/>
                <w:lang w:eastAsia="zh-CN"/>
              </w:rPr>
              <w:t>：确定、理解并持续地满足顾客要求以及适用的法律法规要求；确定和应对能够影响产品和服务的符合性以及增强顾客满意能力的风险和机遇；始终致力于增强顾客满意</w:t>
            </w:r>
          </w:p>
          <w:p>
            <w:pPr>
              <w:rPr>
                <w:rFonts w:hint="eastAsia"/>
                <w:color w:val="auto"/>
                <w:lang w:val="en-US" w:eastAsia="zh-CN"/>
              </w:rPr>
            </w:pPr>
            <w:r>
              <w:rPr>
                <w:rFonts w:hint="eastAsia" w:ascii="宋体" w:hAnsi="宋体"/>
                <w:color w:val="auto"/>
                <w:lang w:val="en-US" w:eastAsia="zh-CN"/>
              </w:rPr>
              <w:t>成立于2010年2月，注册资本50万，</w:t>
            </w:r>
            <w:r>
              <w:rPr>
                <w:rFonts w:hint="eastAsia"/>
                <w:color w:val="auto"/>
              </w:rPr>
              <w:t>专业生产</w:t>
            </w:r>
            <w:r>
              <w:rPr>
                <w:rFonts w:hint="eastAsia" w:ascii="宋体" w:hAnsi="宋体"/>
                <w:color w:val="auto"/>
                <w:szCs w:val="21"/>
              </w:rPr>
              <w:t xml:space="preserve">模具制造，冲压件生产 </w:t>
            </w:r>
            <w:r>
              <w:rPr>
                <w:rFonts w:hint="eastAsia"/>
                <w:color w:val="auto"/>
                <w:lang w:val="en-US" w:eastAsia="zh-CN"/>
              </w:rPr>
              <w:t>。</w:t>
            </w:r>
          </w:p>
          <w:p>
            <w:pPr>
              <w:rPr>
                <w:rFonts w:hint="default" w:eastAsia="宋体"/>
                <w:color w:val="auto"/>
                <w:szCs w:val="21"/>
                <w:lang w:val="en-US" w:eastAsia="zh-CN"/>
              </w:rPr>
            </w:pPr>
            <w:r>
              <w:rPr>
                <w:rFonts w:hint="eastAsia"/>
                <w:color w:val="auto"/>
                <w:szCs w:val="21"/>
                <w:lang w:val="en-US" w:eastAsia="zh-CN"/>
              </w:rPr>
              <w:t>查</w:t>
            </w:r>
            <w:r>
              <w:rPr>
                <w:rFonts w:hint="eastAsia"/>
                <w:color w:val="auto"/>
                <w:szCs w:val="21"/>
              </w:rPr>
              <w:t>《相关方的要求和期望表》和《风险和机遇评估分析表》</w:t>
            </w:r>
            <w:r>
              <w:rPr>
                <w:rFonts w:hint="eastAsia"/>
                <w:color w:val="auto"/>
                <w:szCs w:val="21"/>
                <w:lang w:eastAsia="zh-CN"/>
              </w:rPr>
              <w:t>，</w:t>
            </w:r>
            <w:r>
              <w:rPr>
                <w:rFonts w:hint="eastAsia"/>
                <w:color w:val="auto"/>
                <w:szCs w:val="21"/>
                <w:lang w:val="en-US" w:eastAsia="zh-CN"/>
              </w:rPr>
              <w:t>分析了组织相关的内外部因素，查看《组织环境分析报告》：</w:t>
            </w:r>
          </w:p>
          <w:p>
            <w:pPr>
              <w:rPr>
                <w:rFonts w:hint="eastAsia"/>
                <w:color w:val="auto"/>
                <w:szCs w:val="21"/>
              </w:rPr>
            </w:pPr>
            <w:r>
              <w:rPr>
                <w:color w:val="auto"/>
                <w:szCs w:val="21"/>
              </w:rPr>
              <w:t>内部因素</w:t>
            </w:r>
            <w:r>
              <w:rPr>
                <w:rFonts w:hint="eastAsia"/>
                <w:color w:val="auto"/>
                <w:szCs w:val="21"/>
              </w:rPr>
              <w:t>：</w:t>
            </w:r>
            <w:r>
              <w:rPr>
                <w:rFonts w:hint="eastAsia" w:ascii="宋体" w:hAnsi="宋体"/>
                <w:color w:val="auto"/>
                <w:szCs w:val="21"/>
              </w:rPr>
              <w:t>■价值观■文化■知识■组织绩效</w:t>
            </w:r>
            <w:r>
              <w:rPr>
                <w:rFonts w:hint="eastAsia"/>
                <w:color w:val="auto"/>
                <w:szCs w:val="21"/>
              </w:rPr>
              <w:t>；</w:t>
            </w:r>
          </w:p>
          <w:p>
            <w:pPr>
              <w:rPr>
                <w:rFonts w:hint="default"/>
                <w:lang w:val="en-US" w:eastAsia="zh-CN"/>
              </w:rPr>
            </w:pPr>
            <w:r>
              <w:rPr>
                <w:rFonts w:hint="eastAsia"/>
                <w:color w:val="auto"/>
                <w:szCs w:val="21"/>
              </w:rPr>
              <w:t>外部因素：</w:t>
            </w:r>
            <w:r>
              <w:rPr>
                <w:rFonts w:hint="eastAsia" w:ascii="宋体" w:hAnsi="宋体"/>
                <w:color w:val="auto"/>
                <w:szCs w:val="21"/>
              </w:rPr>
              <w:t>■法律法规■技术■竞争■市场■社会文化■经济</w:t>
            </w:r>
          </w:p>
        </w:tc>
        <w:tc>
          <w:tcPr>
            <w:tcW w:w="1585" w:type="dxa"/>
          </w:tcPr>
          <w:p>
            <w:pPr>
              <w:rPr>
                <w:rFonts w:hint="eastAsia" w:eastAsia="宋体"/>
                <w:sz w:val="24"/>
                <w:lang w:val="en-US" w:eastAsia="zh-CN"/>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160" w:type="dxa"/>
          </w:tcPr>
          <w:p>
            <w:pPr>
              <w:rPr>
                <w:rFonts w:hint="eastAsia" w:ascii="宋体" w:hAnsi="宋体"/>
                <w:color w:val="auto"/>
                <w:lang w:val="en-US" w:eastAsia="zh-CN"/>
              </w:rPr>
            </w:pPr>
            <w:r>
              <w:rPr>
                <w:rFonts w:hint="eastAsia" w:ascii="宋体" w:hAnsi="宋体"/>
                <w:color w:val="auto"/>
                <w:lang w:eastAsia="zh-CN"/>
              </w:rPr>
              <w:t>相关方需求和期望</w:t>
            </w:r>
          </w:p>
        </w:tc>
        <w:tc>
          <w:tcPr>
            <w:tcW w:w="960" w:type="dxa"/>
          </w:tcPr>
          <w:p>
            <w:pPr>
              <w:rPr>
                <w:rFonts w:hint="default" w:ascii="宋体" w:hAnsi="宋体"/>
                <w:color w:val="auto"/>
                <w:lang w:val="en-US" w:eastAsia="zh-CN"/>
              </w:rPr>
            </w:pPr>
            <w:r>
              <w:rPr>
                <w:rFonts w:hint="eastAsia" w:ascii="宋体" w:hAnsi="宋体"/>
                <w:color w:val="auto"/>
                <w:lang w:val="en-US" w:eastAsia="zh-CN"/>
              </w:rPr>
              <w:t>Q4.2</w:t>
            </w:r>
          </w:p>
        </w:tc>
        <w:tc>
          <w:tcPr>
            <w:tcW w:w="10004" w:type="dxa"/>
          </w:tcPr>
          <w:p>
            <w:pPr>
              <w:rPr>
                <w:rFonts w:hint="eastAsia" w:ascii="宋体" w:hAnsi="宋体"/>
                <w:color w:val="auto"/>
                <w:lang w:val="en-US" w:eastAsia="zh-CN"/>
              </w:rPr>
            </w:pPr>
            <w:r>
              <w:rPr>
                <w:rFonts w:hint="eastAsia" w:ascii="宋体" w:hAnsi="宋体"/>
                <w:color w:val="auto"/>
                <w:lang w:val="en-US" w:eastAsia="zh-CN"/>
              </w:rPr>
              <w:t>公司相关方包括：顾客、外部供方、"厂界周边企业和居民"、政府机构、审核机构、公司经营者、员工。查《</w:t>
            </w:r>
            <w:r>
              <w:rPr>
                <w:rFonts w:hint="eastAsia" w:ascii="宋体" w:hAnsi="宋体"/>
                <w:color w:val="auto"/>
                <w:lang w:eastAsia="zh-CN"/>
              </w:rPr>
              <w:t>相关方的要求和期望表</w:t>
            </w:r>
            <w:r>
              <w:rPr>
                <w:rFonts w:hint="eastAsia" w:ascii="宋体" w:hAnsi="宋体"/>
                <w:color w:val="auto"/>
                <w:lang w:val="en-US" w:eastAsia="zh-CN"/>
              </w:rPr>
              <w:t>》，明确写明相关方的需求和期望，公司监测的指标或项目以及监测部门和频率。</w:t>
            </w:r>
          </w:p>
        </w:tc>
        <w:tc>
          <w:tcPr>
            <w:tcW w:w="1585" w:type="dxa"/>
          </w:tcPr>
          <w:p>
            <w:pPr>
              <w:rPr>
                <w:rFonts w:hint="eastAsia"/>
                <w:sz w:val="24"/>
                <w:lang w:val="en-US" w:eastAsia="zh-CN"/>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2160" w:type="dxa"/>
          </w:tcPr>
          <w:p>
            <w:pPr>
              <w:rPr>
                <w:rFonts w:hint="default" w:eastAsia="宋体"/>
                <w:szCs w:val="21"/>
                <w:lang w:val="en-US" w:eastAsia="zh-CN"/>
              </w:rPr>
            </w:pPr>
            <w:r>
              <w:rPr>
                <w:rFonts w:hint="eastAsia"/>
                <w:szCs w:val="21"/>
                <w:lang w:val="en-US" w:eastAsia="zh-CN"/>
              </w:rPr>
              <w:t>质量管理体系的范围</w:t>
            </w:r>
          </w:p>
        </w:tc>
        <w:tc>
          <w:tcPr>
            <w:tcW w:w="960" w:type="dxa"/>
          </w:tcPr>
          <w:p>
            <w:pPr>
              <w:rPr>
                <w:rFonts w:hint="eastAsia"/>
                <w:sz w:val="24"/>
                <w:lang w:val="en-US" w:eastAsia="zh-CN"/>
              </w:rPr>
            </w:pPr>
            <w:r>
              <w:rPr>
                <w:rFonts w:hint="eastAsia"/>
                <w:sz w:val="24"/>
                <w:lang w:val="en-US" w:eastAsia="zh-CN"/>
              </w:rPr>
              <w:t>Q4.3</w:t>
            </w:r>
          </w:p>
        </w:tc>
        <w:tc>
          <w:tcPr>
            <w:tcW w:w="10004" w:type="dxa"/>
          </w:tcPr>
          <w:p>
            <w:pPr>
              <w:rPr>
                <w:rFonts w:hint="default" w:ascii="宋体" w:hAnsi="宋体"/>
                <w:color w:val="auto"/>
                <w:lang w:val="en-US" w:eastAsia="zh-CN"/>
              </w:rPr>
            </w:pPr>
            <w:r>
              <w:rPr>
                <w:rFonts w:hint="eastAsia" w:ascii="宋体" w:hAnsi="宋体"/>
                <w:color w:val="auto"/>
                <w:lang w:val="en-US" w:eastAsia="zh-CN"/>
              </w:rPr>
              <w:t>申请认证的范围：</w:t>
            </w:r>
            <w:bookmarkStart w:id="1" w:name="审核范围"/>
            <w:r>
              <w:rPr>
                <w:rFonts w:hint="eastAsia" w:ascii="宋体" w:hAnsi="宋体"/>
                <w:color w:val="auto"/>
                <w:lang w:val="en-US" w:eastAsia="zh-CN"/>
              </w:rPr>
              <w:t>模具制造，冲压件生产</w:t>
            </w:r>
            <w:bookmarkEnd w:id="1"/>
            <w:r>
              <w:rPr>
                <w:rFonts w:hint="eastAsia" w:ascii="宋体" w:hAnsi="宋体"/>
                <w:color w:val="auto"/>
                <w:lang w:val="en-US" w:eastAsia="zh-CN"/>
              </w:rPr>
              <w:t xml:space="preserve"> </w:t>
            </w:r>
          </w:p>
          <w:p>
            <w:pPr>
              <w:rPr>
                <w:rFonts w:hint="default" w:ascii="宋体" w:hAnsi="宋体"/>
                <w:color w:val="auto"/>
                <w:lang w:val="en-US" w:eastAsia="zh-CN"/>
              </w:rPr>
            </w:pPr>
            <w:r>
              <w:rPr>
                <w:rFonts w:hint="eastAsia" w:ascii="宋体" w:hAnsi="宋体"/>
                <w:color w:val="auto"/>
                <w:lang w:val="en-US" w:eastAsia="zh-CN"/>
              </w:rPr>
              <w:t>覆盖的部门：办公室、供销部（仓库）、生产部、质管部</w:t>
            </w:r>
          </w:p>
          <w:p>
            <w:pPr>
              <w:rPr>
                <w:rFonts w:hint="eastAsia" w:ascii="宋体" w:hAnsi="宋体"/>
                <w:color w:val="auto"/>
                <w:lang w:val="en-US" w:eastAsia="zh-CN"/>
              </w:rPr>
            </w:pPr>
            <w:r>
              <w:rPr>
                <w:rFonts w:hint="eastAsia" w:ascii="宋体" w:hAnsi="宋体"/>
                <w:color w:val="auto"/>
                <w:lang w:val="en-US" w:eastAsia="zh-CN"/>
              </w:rPr>
              <w:t>覆盖的时期：2019年9月至现在</w:t>
            </w:r>
          </w:p>
          <w:p>
            <w:pPr>
              <w:rPr>
                <w:szCs w:val="21"/>
              </w:rPr>
            </w:pPr>
            <w:r>
              <w:rPr>
                <w:rFonts w:hint="eastAsia"/>
                <w:b/>
                <w:szCs w:val="21"/>
              </w:rPr>
              <w:t>地址变更</w:t>
            </w:r>
            <w:r>
              <w:rPr>
                <w:rFonts w:hint="eastAsia"/>
                <w:szCs w:val="21"/>
              </w:rPr>
              <w:t>：</w:t>
            </w:r>
          </w:p>
          <w:p>
            <w:pPr>
              <w:rPr>
                <w:szCs w:val="21"/>
              </w:rPr>
            </w:pPr>
            <w:r>
              <w:rPr>
                <w:rFonts w:hint="eastAsia"/>
                <w:szCs w:val="21"/>
              </w:rPr>
              <w:t>原（</w:t>
            </w:r>
            <w:r>
              <w:rPr>
                <w:rFonts w:hint="eastAsia" w:ascii="Wingdings 2" w:hAnsi="Wingdings 2"/>
                <w:szCs w:val="21"/>
              </w:rPr>
              <w:sym w:font="Wingdings 2" w:char="0052"/>
            </w:r>
            <w:r>
              <w:rPr>
                <w:rFonts w:hint="eastAsia"/>
                <w:szCs w:val="21"/>
              </w:rPr>
              <w:t>经营地址，</w:t>
            </w:r>
            <w:r>
              <w:rPr>
                <w:rFonts w:hint="eastAsia" w:ascii="Wingdings 2" w:hAnsi="Wingdings 2"/>
                <w:szCs w:val="21"/>
              </w:rPr>
              <w:sym w:font="Wingdings 2" w:char="0052"/>
            </w:r>
            <w:r>
              <w:rPr>
                <w:rFonts w:hint="eastAsia"/>
                <w:szCs w:val="21"/>
              </w:rPr>
              <w:t>生产地址，</w:t>
            </w:r>
            <w:r>
              <w:rPr>
                <w:rFonts w:hint="eastAsia" w:ascii="Wingdings 2" w:hAnsi="Wingdings 2"/>
                <w:szCs w:val="21"/>
              </w:rPr>
              <w:sym w:font="Wingdings 2" w:char="0052"/>
            </w:r>
            <w:r>
              <w:rPr>
                <w:rFonts w:hint="eastAsia"/>
                <w:szCs w:val="21"/>
              </w:rPr>
              <w:t>注册地址）：</w:t>
            </w:r>
            <w:bookmarkStart w:id="2" w:name="生产地址"/>
            <w:r>
              <w:rPr>
                <w:rFonts w:asciiTheme="minorEastAsia" w:hAnsiTheme="minorEastAsia" w:eastAsiaTheme="minorEastAsia"/>
                <w:sz w:val="20"/>
              </w:rPr>
              <w:t>芜湖市弋江区高新技术开发区恒昌路10号</w:t>
            </w:r>
            <w:bookmarkEnd w:id="2"/>
          </w:p>
          <w:p>
            <w:pPr>
              <w:rPr>
                <w:rFonts w:hint="default" w:eastAsiaTheme="minorEastAsia"/>
                <w:color w:val="000000"/>
                <w:lang w:val="en-US" w:eastAsia="zh-CN"/>
              </w:rPr>
            </w:pPr>
            <w:r>
              <w:rPr>
                <w:rFonts w:hint="eastAsia"/>
                <w:szCs w:val="21"/>
              </w:rPr>
              <w:t>现（</w:t>
            </w:r>
            <w:r>
              <w:rPr>
                <w:rFonts w:hint="eastAsia" w:ascii="Wingdings 2" w:hAnsi="Wingdings 2"/>
                <w:szCs w:val="21"/>
              </w:rPr>
              <w:sym w:font="Wingdings 2" w:char="0052"/>
            </w:r>
            <w:r>
              <w:rPr>
                <w:rFonts w:hint="eastAsia"/>
                <w:szCs w:val="21"/>
              </w:rPr>
              <w:t>经营地址，</w:t>
            </w:r>
            <w:r>
              <w:rPr>
                <w:rFonts w:hint="eastAsia" w:ascii="Wingdings 2" w:hAnsi="Wingdings 2"/>
                <w:szCs w:val="21"/>
              </w:rPr>
              <w:sym w:font="Wingdings 2" w:char="0052"/>
            </w:r>
            <w:r>
              <w:rPr>
                <w:rFonts w:hint="eastAsia"/>
                <w:szCs w:val="21"/>
              </w:rPr>
              <w:t>生产地址，</w:t>
            </w:r>
            <w:r>
              <w:rPr>
                <w:rFonts w:hint="eastAsia" w:ascii="Wingdings 2" w:hAnsi="Wingdings 2"/>
                <w:szCs w:val="21"/>
              </w:rPr>
              <w:sym w:font="Wingdings 2" w:char="0052"/>
            </w:r>
            <w:r>
              <w:rPr>
                <w:rFonts w:hint="eastAsia"/>
                <w:szCs w:val="21"/>
              </w:rPr>
              <w:t>注册地址）：</w:t>
            </w:r>
            <w:bookmarkStart w:id="3" w:name="_GoBack"/>
            <w:r>
              <w:rPr>
                <w:rFonts w:asciiTheme="minorEastAsia" w:hAnsiTheme="minorEastAsia" w:eastAsiaTheme="minorEastAsia"/>
                <w:sz w:val="20"/>
              </w:rPr>
              <w:t>芜湖市弋江区高新技术开发区</w:t>
            </w:r>
            <w:r>
              <w:rPr>
                <w:rFonts w:hint="eastAsia" w:asciiTheme="minorEastAsia" w:hAnsiTheme="minorEastAsia" w:eastAsiaTheme="minorEastAsia"/>
                <w:sz w:val="20"/>
                <w:lang w:val="en-US" w:eastAsia="zh-CN"/>
              </w:rPr>
              <w:t>中山南路682号</w:t>
            </w:r>
            <w:bookmarkEnd w:id="3"/>
          </w:p>
          <w:p>
            <w:pPr>
              <w:rPr>
                <w:rFonts w:hint="eastAsia" w:ascii="宋体" w:hAnsi="宋体"/>
                <w:color w:val="auto"/>
                <w:lang w:val="en-US" w:eastAsia="zh-CN"/>
              </w:rPr>
            </w:pPr>
          </w:p>
        </w:tc>
        <w:tc>
          <w:tcPr>
            <w:tcW w:w="1585" w:type="dxa"/>
          </w:tcPr>
          <w:p>
            <w:pPr>
              <w:rPr>
                <w:rFonts w:hint="eastAsia"/>
                <w:sz w:val="24"/>
                <w:lang w:val="en-US" w:eastAsia="zh-CN"/>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2160" w:type="dxa"/>
          </w:tcPr>
          <w:p>
            <w:pPr>
              <w:rPr>
                <w:rFonts w:hint="default" w:ascii="宋体" w:hAnsi="宋体"/>
                <w:color w:val="auto"/>
                <w:lang w:val="en-US" w:eastAsia="zh-CN"/>
              </w:rPr>
            </w:pPr>
            <w:r>
              <w:rPr>
                <w:rFonts w:hint="eastAsia" w:ascii="宋体" w:hAnsi="宋体"/>
                <w:color w:val="auto"/>
                <w:lang w:val="en-US" w:eastAsia="zh-CN"/>
              </w:rPr>
              <w:t>质量管理体系及其过程</w:t>
            </w:r>
          </w:p>
        </w:tc>
        <w:tc>
          <w:tcPr>
            <w:tcW w:w="960" w:type="dxa"/>
          </w:tcPr>
          <w:p>
            <w:pPr>
              <w:rPr>
                <w:rFonts w:hint="eastAsia" w:ascii="宋体" w:hAnsi="宋体"/>
                <w:color w:val="auto"/>
                <w:lang w:val="en-US" w:eastAsia="zh-CN"/>
              </w:rPr>
            </w:pPr>
            <w:r>
              <w:rPr>
                <w:rFonts w:hint="eastAsia" w:ascii="宋体" w:hAnsi="宋体"/>
                <w:color w:val="auto"/>
                <w:lang w:val="en-US" w:eastAsia="zh-CN"/>
              </w:rPr>
              <w:t>Q4.4</w:t>
            </w:r>
          </w:p>
        </w:tc>
        <w:tc>
          <w:tcPr>
            <w:tcW w:w="10004" w:type="dxa"/>
          </w:tcPr>
          <w:p>
            <w:pPr>
              <w:rPr>
                <w:rFonts w:hint="eastAsia" w:ascii="宋体" w:hAnsi="宋体"/>
                <w:color w:val="auto"/>
                <w:lang w:val="en-US" w:eastAsia="zh-CN"/>
              </w:rPr>
            </w:pPr>
            <w:r>
              <w:rPr>
                <w:rFonts w:hint="eastAsia" w:ascii="宋体" w:hAnsi="宋体"/>
                <w:color w:val="auto"/>
                <w:lang w:val="en-US" w:eastAsia="zh-CN"/>
              </w:rPr>
              <w:t>织对管理体系的过程进行了确认，对输入、输出、</w:t>
            </w:r>
            <w:r>
              <w:rPr>
                <w:rFonts w:hint="eastAsia" w:ascii="宋体" w:hAnsi="宋体"/>
                <w:color w:val="auto"/>
                <w:lang w:val="en-GB" w:eastAsia="zh-CN"/>
              </w:rPr>
              <w:t>顺序及相互</w:t>
            </w:r>
            <w:r>
              <w:rPr>
                <w:rFonts w:hint="eastAsia" w:ascii="宋体" w:hAnsi="宋体"/>
                <w:color w:val="auto"/>
                <w:lang w:val="en-US" w:eastAsia="zh-CN"/>
              </w:rPr>
              <w:t>作用</w:t>
            </w:r>
            <w:r>
              <w:rPr>
                <w:rFonts w:hint="eastAsia" w:ascii="宋体" w:hAnsi="宋体"/>
                <w:color w:val="auto"/>
                <w:lang w:val="en-GB" w:eastAsia="zh-CN"/>
              </w:rPr>
              <w:t>已被</w:t>
            </w:r>
            <w:r>
              <w:rPr>
                <w:rFonts w:hint="eastAsia" w:ascii="宋体" w:hAnsi="宋体"/>
                <w:color w:val="auto"/>
                <w:lang w:val="en-US" w:eastAsia="zh-CN"/>
              </w:rPr>
              <w:t>明确</w:t>
            </w:r>
            <w:r>
              <w:rPr>
                <w:rFonts w:hint="eastAsia" w:ascii="宋体" w:hAnsi="宋体"/>
                <w:color w:val="auto"/>
                <w:lang w:val="en-GB" w:eastAsia="zh-CN"/>
              </w:rPr>
              <w:t>地提出并被充分控制。</w:t>
            </w:r>
            <w:r>
              <w:rPr>
                <w:rFonts w:hint="eastAsia" w:ascii="宋体" w:hAnsi="宋体"/>
                <w:color w:val="auto"/>
                <w:lang w:val="en-US" w:eastAsia="zh-CN"/>
              </w:rPr>
              <w:t>采用了过程方法管理相关管理体系及其过程；</w:t>
            </w:r>
            <w:r>
              <w:rPr>
                <w:rFonts w:hint="eastAsia" w:ascii="宋体" w:hAnsi="宋体"/>
                <w:color w:val="auto"/>
                <w:lang w:val="en-GB" w:eastAsia="zh-CN"/>
              </w:rPr>
              <w:t>用文件化的绩效指标定期评审过程。</w:t>
            </w:r>
          </w:p>
          <w:p>
            <w:pPr>
              <w:rPr>
                <w:rFonts w:hint="eastAsia" w:ascii="宋体" w:hAnsi="宋体"/>
                <w:color w:val="auto"/>
                <w:lang w:val="en-US" w:eastAsia="zh-CN"/>
              </w:rPr>
            </w:pPr>
            <w:r>
              <w:rPr>
                <w:rFonts w:hint="eastAsia" w:ascii="宋体" w:hAnsi="宋体"/>
                <w:color w:val="auto"/>
                <w:lang w:val="en-US" w:eastAsia="zh-CN"/>
              </w:rPr>
              <w:t>影响运行的重要</w:t>
            </w:r>
            <w:r>
              <w:rPr>
                <w:rFonts w:hint="eastAsia" w:ascii="宋体" w:hAnsi="宋体"/>
                <w:color w:val="auto"/>
                <w:lang w:val="en-GB" w:eastAsia="zh-CN"/>
              </w:rPr>
              <w:t>过程如下</w:t>
            </w:r>
            <w:r>
              <w:rPr>
                <w:rFonts w:hint="eastAsia" w:ascii="宋体" w:hAnsi="宋体"/>
                <w:color w:val="auto"/>
                <w:lang w:val="en-US" w:eastAsia="zh-CN"/>
              </w:rPr>
              <w:t>:</w:t>
            </w:r>
            <w:r>
              <w:rPr>
                <w:rFonts w:hint="eastAsia" w:ascii="宋体" w:hAnsi="宋体"/>
                <w:color w:val="auto"/>
                <w:lang w:val="en-GB" w:eastAsia="zh-CN"/>
              </w:rPr>
              <w:t xml:space="preserve"> </w:t>
            </w:r>
            <w:r>
              <w:rPr>
                <w:rFonts w:hint="eastAsia" w:ascii="宋体" w:hAnsi="宋体"/>
                <w:color w:val="auto"/>
                <w:lang w:val="en-US" w:eastAsia="zh-CN"/>
              </w:rPr>
              <w:t xml:space="preserve">设备能力、人员能力、检测水平、知识保密、原材料采购 、生产/服务控制 </w:t>
            </w:r>
          </w:p>
        </w:tc>
        <w:tc>
          <w:tcPr>
            <w:tcW w:w="1585" w:type="dxa"/>
          </w:tcPr>
          <w:p>
            <w:pPr>
              <w:rPr>
                <w:rFonts w:hint="eastAsia" w:ascii="宋体" w:hAnsi="宋体"/>
                <w:color w:val="auto"/>
                <w:lang w:val="en-US" w:eastAsia="zh-CN"/>
              </w:rPr>
            </w:pPr>
            <w:r>
              <w:rPr>
                <w:rFonts w:hint="eastAsia" w:ascii="宋体" w:hAnsi="宋体"/>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60" w:type="dxa"/>
          </w:tcPr>
          <w:p>
            <w:pPr>
              <w:rPr>
                <w:rFonts w:hint="default" w:ascii="宋体" w:hAnsi="宋体"/>
                <w:color w:val="auto"/>
                <w:lang w:val="en-US" w:eastAsia="zh-CN"/>
              </w:rPr>
            </w:pPr>
            <w:r>
              <w:rPr>
                <w:rFonts w:hint="eastAsia" w:ascii="宋体" w:hAnsi="宋体"/>
                <w:color w:val="auto"/>
                <w:lang w:val="en-US" w:eastAsia="zh-CN"/>
              </w:rPr>
              <w:t>领导的作用和承诺</w:t>
            </w:r>
          </w:p>
        </w:tc>
        <w:tc>
          <w:tcPr>
            <w:tcW w:w="960" w:type="dxa"/>
          </w:tcPr>
          <w:p>
            <w:pPr>
              <w:rPr>
                <w:rFonts w:hint="default" w:ascii="宋体" w:hAnsi="宋体"/>
                <w:color w:val="auto"/>
                <w:lang w:val="en-US" w:eastAsia="zh-CN"/>
              </w:rPr>
            </w:pPr>
            <w:r>
              <w:rPr>
                <w:rFonts w:hint="eastAsia" w:ascii="宋体" w:hAnsi="宋体"/>
                <w:color w:val="auto"/>
                <w:lang w:val="en-US" w:eastAsia="zh-CN"/>
              </w:rPr>
              <w:t>Q5.1</w:t>
            </w:r>
          </w:p>
        </w:tc>
        <w:tc>
          <w:tcPr>
            <w:tcW w:w="10004" w:type="dxa"/>
          </w:tcPr>
          <w:p>
            <w:pPr>
              <w:rPr>
                <w:rFonts w:hint="eastAsia" w:ascii="宋体" w:hAnsi="宋体"/>
                <w:color w:val="auto"/>
                <w:lang w:val="en-US" w:eastAsia="zh-CN"/>
              </w:rPr>
            </w:pPr>
            <w:r>
              <w:rPr>
                <w:rFonts w:hint="eastAsia" w:ascii="宋体" w:hAnsi="宋体"/>
                <w:color w:val="auto"/>
                <w:lang w:val="en-US" w:eastAsia="zh-CN"/>
              </w:rPr>
              <w:t>在《质量手册》中5.1.1条款中有关于最高管理者承诺的描述；包括下列内容：</w:t>
            </w:r>
          </w:p>
          <w:p>
            <w:pPr>
              <w:rPr>
                <w:rFonts w:hint="eastAsia" w:ascii="宋体" w:hAnsi="宋体"/>
                <w:color w:val="auto"/>
                <w:lang w:val="en-US" w:eastAsia="zh-CN"/>
              </w:rPr>
            </w:pPr>
            <w:r>
              <w:rPr>
                <w:rFonts w:hint="eastAsia" w:ascii="宋体" w:hAnsi="宋体"/>
                <w:color w:val="auto"/>
                <w:lang w:val="en-US" w:eastAsia="zh-CN"/>
              </w:rPr>
              <w:t xml:space="preserve">a) 对管理体系的有效性责任； </w:t>
            </w:r>
          </w:p>
          <w:p>
            <w:pPr>
              <w:rPr>
                <w:rFonts w:hint="eastAsia" w:ascii="宋体" w:hAnsi="宋体"/>
                <w:color w:val="auto"/>
                <w:lang w:val="en-US" w:eastAsia="zh-CN"/>
              </w:rPr>
            </w:pPr>
            <w:r>
              <w:rPr>
                <w:rFonts w:hint="eastAsia" w:ascii="宋体" w:hAnsi="宋体"/>
                <w:color w:val="auto"/>
                <w:lang w:val="en-US" w:eastAsia="zh-CN"/>
              </w:rPr>
              <w:t xml:space="preserve">b) 确保制定管理体系的方针和目标，并与组织环境相适应，与战略方向相一致； </w:t>
            </w:r>
          </w:p>
          <w:p>
            <w:pPr>
              <w:rPr>
                <w:rFonts w:hint="eastAsia" w:ascii="宋体" w:hAnsi="宋体"/>
                <w:color w:val="auto"/>
                <w:lang w:val="en-US" w:eastAsia="zh-CN"/>
              </w:rPr>
            </w:pPr>
            <w:r>
              <w:rPr>
                <w:rFonts w:hint="eastAsia" w:ascii="宋体" w:hAnsi="宋体"/>
                <w:color w:val="auto"/>
                <w:lang w:val="en-US" w:eastAsia="zh-CN"/>
              </w:rPr>
              <w:t xml:space="preserve">c) 确保管理体系要求融入组织的业务过程； </w:t>
            </w:r>
          </w:p>
          <w:p>
            <w:pPr>
              <w:rPr>
                <w:rFonts w:hint="eastAsia" w:ascii="宋体" w:hAnsi="宋体"/>
                <w:color w:val="auto"/>
                <w:lang w:val="en-US" w:eastAsia="zh-CN"/>
              </w:rPr>
            </w:pPr>
            <w:r>
              <w:rPr>
                <w:rFonts w:hint="eastAsia" w:ascii="宋体" w:hAnsi="宋体"/>
                <w:color w:val="auto"/>
                <w:lang w:val="en-US" w:eastAsia="zh-CN"/>
              </w:rPr>
              <w:t xml:space="preserve">d) 促进使用过程方法和基于风险的思维； </w:t>
            </w:r>
          </w:p>
          <w:p>
            <w:pPr>
              <w:rPr>
                <w:rFonts w:hint="eastAsia" w:ascii="宋体" w:hAnsi="宋体"/>
                <w:color w:val="auto"/>
                <w:lang w:val="en-US" w:eastAsia="zh-CN"/>
              </w:rPr>
            </w:pPr>
            <w:r>
              <w:rPr>
                <w:rFonts w:hint="eastAsia" w:ascii="宋体" w:hAnsi="宋体"/>
                <w:color w:val="auto"/>
                <w:lang w:val="en-US" w:eastAsia="zh-CN"/>
              </w:rPr>
              <w:t xml:space="preserve">e) 确保管理体系所需的资源是获得的； </w:t>
            </w:r>
          </w:p>
          <w:p>
            <w:pPr>
              <w:rPr>
                <w:rFonts w:hint="eastAsia" w:ascii="宋体" w:hAnsi="宋体"/>
                <w:color w:val="auto"/>
                <w:lang w:val="en-US" w:eastAsia="zh-CN"/>
              </w:rPr>
            </w:pPr>
            <w:r>
              <w:rPr>
                <w:rFonts w:hint="eastAsia" w:ascii="宋体" w:hAnsi="宋体"/>
                <w:color w:val="auto"/>
                <w:lang w:val="en-US" w:eastAsia="zh-CN"/>
              </w:rPr>
              <w:t>f) 沟通有效的管理和符合管理体系要求的重要性；</w:t>
            </w:r>
          </w:p>
          <w:p>
            <w:pPr>
              <w:rPr>
                <w:rFonts w:hint="eastAsia" w:ascii="宋体" w:hAnsi="宋体"/>
                <w:color w:val="auto"/>
                <w:lang w:val="en-US" w:eastAsia="zh-CN"/>
              </w:rPr>
            </w:pPr>
            <w:r>
              <w:rPr>
                <w:rFonts w:hint="eastAsia" w:ascii="宋体" w:hAnsi="宋体"/>
                <w:color w:val="auto"/>
                <w:lang w:val="en-US" w:eastAsia="zh-CN"/>
              </w:rPr>
              <w:t>g) 确保管理体系实现其预期结果；</w:t>
            </w:r>
          </w:p>
          <w:p>
            <w:pPr>
              <w:rPr>
                <w:rFonts w:hint="eastAsia" w:ascii="宋体" w:hAnsi="宋体"/>
                <w:color w:val="auto"/>
                <w:lang w:val="en-US" w:eastAsia="zh-CN"/>
              </w:rPr>
            </w:pPr>
            <w:r>
              <w:rPr>
                <w:rFonts w:hint="eastAsia" w:ascii="宋体" w:hAnsi="宋体"/>
                <w:color w:val="auto"/>
                <w:lang w:val="en-US" w:eastAsia="zh-CN"/>
              </w:rPr>
              <w:t>h) 促使员工积极参与、指导和支持他们为质量管理体系的有效性作出贡献；</w:t>
            </w:r>
          </w:p>
          <w:p>
            <w:pPr>
              <w:rPr>
                <w:rFonts w:hint="eastAsia" w:ascii="宋体" w:hAnsi="宋体"/>
                <w:color w:val="auto"/>
                <w:lang w:val="en-US" w:eastAsia="zh-CN"/>
              </w:rPr>
            </w:pPr>
            <w:r>
              <w:rPr>
                <w:rFonts w:hint="eastAsia" w:ascii="宋体" w:hAnsi="宋体"/>
                <w:color w:val="auto"/>
                <w:lang w:val="en-US" w:eastAsia="zh-CN"/>
              </w:rPr>
              <w:t>i) 推动改进；</w:t>
            </w:r>
          </w:p>
          <w:p>
            <w:pPr>
              <w:rPr>
                <w:rFonts w:hint="eastAsia" w:ascii="宋体" w:hAnsi="宋体"/>
                <w:color w:val="auto"/>
                <w:lang w:val="en-US" w:eastAsia="zh-CN"/>
              </w:rPr>
            </w:pPr>
            <w:r>
              <w:rPr>
                <w:rFonts w:hint="eastAsia" w:ascii="宋体" w:hAnsi="宋体"/>
                <w:color w:val="auto"/>
                <w:lang w:val="en-US" w:eastAsia="zh-CN"/>
              </w:rPr>
              <w:t>j) 支持其他相关管理者在其职责范围内发挥领导作用。</w:t>
            </w:r>
          </w:p>
          <w:p>
            <w:pPr>
              <w:rPr>
                <w:rFonts w:hint="eastAsia" w:ascii="宋体" w:hAnsi="宋体"/>
                <w:color w:val="auto"/>
                <w:lang w:val="en-US" w:eastAsia="zh-CN"/>
              </w:rPr>
            </w:pPr>
            <w:r>
              <w:rPr>
                <w:rFonts w:hint="eastAsia" w:ascii="宋体" w:hAnsi="宋体"/>
                <w:color w:val="auto"/>
                <w:lang w:val="en-US" w:eastAsia="zh-CN"/>
              </w:rPr>
              <w:t>在《质量手册》中5.1.2条款</w:t>
            </w:r>
          </w:p>
          <w:p>
            <w:pPr>
              <w:rPr>
                <w:rFonts w:hint="eastAsia" w:ascii="宋体" w:hAnsi="宋体"/>
                <w:color w:val="auto"/>
                <w:lang w:val="en-US" w:eastAsia="zh-CN"/>
              </w:rPr>
            </w:pPr>
            <w:r>
              <w:rPr>
                <w:rFonts w:hint="eastAsia" w:ascii="宋体" w:hAnsi="宋体"/>
                <w:color w:val="auto"/>
                <w:lang w:val="en-US" w:eastAsia="zh-CN"/>
              </w:rPr>
              <w:t xml:space="preserve">最高管理者通过以下方面，确保证实其以顾客为关注焦点的领导作用和承诺： </w:t>
            </w:r>
          </w:p>
          <w:p>
            <w:pPr>
              <w:rPr>
                <w:rFonts w:hint="eastAsia" w:ascii="宋体" w:hAnsi="宋体"/>
                <w:color w:val="auto"/>
                <w:lang w:val="en-US" w:eastAsia="zh-CN"/>
              </w:rPr>
            </w:pPr>
            <w:r>
              <w:rPr>
                <w:rFonts w:hint="eastAsia" w:ascii="宋体" w:hAnsi="宋体"/>
                <w:color w:val="auto"/>
                <w:lang w:val="en-US" w:eastAsia="zh-CN"/>
              </w:rPr>
              <w:t xml:space="preserve">a）确定、理解并持续地满足顾客要求以及适用的法律法规要求； </w:t>
            </w:r>
          </w:p>
          <w:p>
            <w:pPr>
              <w:rPr>
                <w:rFonts w:hint="eastAsia" w:ascii="宋体" w:hAnsi="宋体"/>
                <w:color w:val="auto"/>
                <w:lang w:val="en-US" w:eastAsia="zh-CN"/>
              </w:rPr>
            </w:pPr>
            <w:r>
              <w:rPr>
                <w:rFonts w:hint="eastAsia" w:ascii="宋体" w:hAnsi="宋体"/>
                <w:color w:val="auto"/>
                <w:lang w:val="en-US" w:eastAsia="zh-CN"/>
              </w:rPr>
              <w:t xml:space="preserve">b）确定和应对风险和机遇，这些风险和机遇可能影响产品和服务的合格，以及增强顾客满意能力； </w:t>
            </w:r>
          </w:p>
          <w:p>
            <w:pPr>
              <w:rPr>
                <w:rFonts w:hint="eastAsia" w:ascii="宋体" w:hAnsi="宋体"/>
                <w:color w:val="auto"/>
                <w:lang w:val="en-US" w:eastAsia="zh-CN"/>
              </w:rPr>
            </w:pPr>
            <w:r>
              <w:rPr>
                <w:rFonts w:hint="eastAsia" w:ascii="宋体" w:hAnsi="宋体"/>
                <w:color w:val="auto"/>
                <w:lang w:val="en-US" w:eastAsia="zh-CN"/>
              </w:rPr>
              <w:t xml:space="preserve">c）始终致力于增强顾客满意。 </w:t>
            </w:r>
          </w:p>
          <w:p>
            <w:pPr>
              <w:rPr>
                <w:rFonts w:hint="default" w:ascii="宋体" w:hAnsi="宋体"/>
                <w:color w:val="auto"/>
                <w:lang w:val="en-US" w:eastAsia="zh-CN"/>
              </w:rPr>
            </w:pPr>
            <w:r>
              <w:rPr>
                <w:rFonts w:hint="eastAsia" w:ascii="宋体" w:hAnsi="宋体"/>
                <w:color w:val="auto"/>
                <w:lang w:val="en-US" w:eastAsia="zh-CN"/>
              </w:rPr>
              <w:t>——由综合部负责收集评价法律法规，形成管理制度，各部门有效实施；供销部及时处置顾客投诉和建议，设定顾客满意度质量目标达到90%以上。</w:t>
            </w:r>
          </w:p>
          <w:p>
            <w:pPr>
              <w:rPr>
                <w:rFonts w:hint="eastAsia" w:ascii="宋体" w:hAnsi="宋体"/>
                <w:color w:val="auto"/>
                <w:lang w:val="en-US" w:eastAsia="zh-CN"/>
              </w:rPr>
            </w:pPr>
            <w:r>
              <w:rPr>
                <w:rFonts w:hint="eastAsia" w:ascii="宋体" w:hAnsi="宋体"/>
                <w:color w:val="auto"/>
                <w:lang w:val="en-US" w:eastAsia="zh-CN"/>
              </w:rPr>
              <w:t>供销部每年组织顾客走进行满意度调查，了解客户的需求和期望，并将之转化为公司的生产质量要求予以确定，交付符合顾客要求和法规要求的产品，以增强顾客满意。</w:t>
            </w:r>
          </w:p>
        </w:tc>
        <w:tc>
          <w:tcPr>
            <w:tcW w:w="1585" w:type="dxa"/>
          </w:tcPr>
          <w:p>
            <w:pPr>
              <w:rPr>
                <w:rFonts w:hint="eastAsia"/>
                <w:sz w:val="24"/>
                <w:lang w:val="en-US" w:eastAsia="zh-CN"/>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60" w:type="dxa"/>
          </w:tcPr>
          <w:p>
            <w:pPr>
              <w:rPr>
                <w:rFonts w:hint="default" w:ascii="宋体" w:hAnsi="宋体"/>
                <w:color w:val="auto"/>
                <w:lang w:val="en-US" w:eastAsia="zh-CN"/>
              </w:rPr>
            </w:pPr>
            <w:r>
              <w:rPr>
                <w:rFonts w:hint="eastAsia" w:ascii="宋体" w:hAnsi="宋体"/>
                <w:color w:val="auto"/>
                <w:lang w:val="en-US" w:eastAsia="zh-CN"/>
              </w:rPr>
              <w:t>质量方针</w:t>
            </w:r>
          </w:p>
        </w:tc>
        <w:tc>
          <w:tcPr>
            <w:tcW w:w="960" w:type="dxa"/>
          </w:tcPr>
          <w:p>
            <w:pPr>
              <w:rPr>
                <w:rFonts w:hint="eastAsia" w:ascii="宋体" w:hAnsi="宋体"/>
                <w:color w:val="auto"/>
                <w:lang w:val="en-US" w:eastAsia="zh-CN"/>
              </w:rPr>
            </w:pPr>
            <w:r>
              <w:rPr>
                <w:rFonts w:hint="eastAsia" w:ascii="宋体" w:hAnsi="宋体"/>
                <w:color w:val="auto"/>
                <w:lang w:val="en-US" w:eastAsia="zh-CN"/>
              </w:rPr>
              <w:t>Q5.2</w:t>
            </w:r>
          </w:p>
        </w:tc>
        <w:tc>
          <w:tcPr>
            <w:tcW w:w="10004" w:type="dxa"/>
          </w:tcPr>
          <w:p>
            <w:pPr>
              <w:rPr>
                <w:rFonts w:hint="eastAsia" w:ascii="宋体" w:hAnsi="宋体"/>
                <w:color w:val="auto"/>
                <w:lang w:val="en-US" w:eastAsia="zh-CN"/>
              </w:rPr>
            </w:pPr>
            <w:r>
              <w:rPr>
                <w:rFonts w:hint="eastAsia" w:ascii="宋体" w:hAnsi="宋体"/>
                <w:color w:val="auto"/>
                <w:lang w:val="en-US" w:eastAsia="zh-CN"/>
              </w:rPr>
              <w:t>在《管理手册》中06质量方针和目标 章节中</w:t>
            </w:r>
          </w:p>
          <w:p>
            <w:pPr>
              <w:rPr>
                <w:rFonts w:hint="default" w:ascii="宋体" w:hAnsi="宋体"/>
                <w:color w:val="auto"/>
                <w:lang w:val="en-US" w:eastAsia="zh-CN"/>
              </w:rPr>
            </w:pPr>
            <w:r>
              <w:rPr>
                <w:rFonts w:hint="eastAsia" w:ascii="宋体" w:hAnsi="宋体"/>
                <w:color w:val="auto"/>
                <w:lang w:val="en-US" w:eastAsia="zh-CN"/>
              </w:rPr>
              <w:t>企业质量方针：“以质为本  顾客至上  持续改进   开拓创新”</w:t>
            </w:r>
          </w:p>
          <w:p>
            <w:pPr>
              <w:rPr>
                <w:rFonts w:hint="eastAsia" w:ascii="宋体" w:hAnsi="宋体"/>
                <w:color w:val="auto"/>
                <w:lang w:val="en-US" w:eastAsia="zh-CN"/>
              </w:rPr>
            </w:pPr>
            <w:r>
              <w:rPr>
                <w:rFonts w:hint="eastAsia" w:ascii="宋体" w:hAnsi="宋体"/>
                <w:color w:val="auto"/>
                <w:lang w:val="en-US" w:eastAsia="zh-CN"/>
              </w:rPr>
              <w:t>与公司的经营宗旨相适应，体现公司在质量方面追求的承诺。体现了满足和遵守相关法律法规的承诺、体现了持续改进管理体系的承诺，为质量目标的制定和评审提供了框架，通过组织学习培训， 使全员了解公司质量方针的内涵。为质量方针的实现努力工作，经管理评审确认，方针适合于公司现状，目前暂不作修订。</w:t>
            </w:r>
          </w:p>
          <w:p>
            <w:pPr>
              <w:rPr>
                <w:rFonts w:hint="eastAsia" w:ascii="宋体" w:hAnsi="宋体"/>
                <w:color w:val="auto"/>
                <w:lang w:val="en-US" w:eastAsia="zh-CN"/>
              </w:rPr>
            </w:pPr>
            <w:r>
              <w:rPr>
                <w:rFonts w:hint="eastAsia" w:ascii="宋体" w:hAnsi="宋体"/>
                <w:color w:val="auto"/>
                <w:lang w:val="en-US" w:eastAsia="zh-CN"/>
              </w:rPr>
              <w:t xml:space="preserve">在组织内得到沟通、理解和应用，通过：展板；标语；会议；文件发放  </w:t>
            </w:r>
          </w:p>
          <w:p>
            <w:pPr>
              <w:rPr>
                <w:rFonts w:hint="eastAsia" w:ascii="宋体" w:hAnsi="宋体"/>
                <w:color w:val="auto"/>
                <w:lang w:val="en-US" w:eastAsia="zh-CN"/>
              </w:rPr>
            </w:pPr>
            <w:r>
              <w:rPr>
                <w:rFonts w:hint="eastAsia" w:ascii="宋体" w:hAnsi="宋体"/>
                <w:color w:val="auto"/>
                <w:lang w:val="en-US" w:eastAsia="zh-CN"/>
              </w:rPr>
              <w:t>在相关方有需要时提供。通过：网站；宣传册</w:t>
            </w:r>
          </w:p>
        </w:tc>
        <w:tc>
          <w:tcPr>
            <w:tcW w:w="1585" w:type="dxa"/>
          </w:tcPr>
          <w:p>
            <w:pPr>
              <w:rPr>
                <w:rFonts w:hint="eastAsia"/>
                <w:sz w:val="24"/>
                <w:lang w:val="en-US" w:eastAsia="zh-CN"/>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2160" w:type="dxa"/>
          </w:tcPr>
          <w:p>
            <w:pPr>
              <w:rPr>
                <w:rFonts w:hint="default" w:ascii="宋体" w:hAnsi="宋体"/>
                <w:color w:val="auto"/>
                <w:lang w:val="en-US" w:eastAsia="zh-CN"/>
              </w:rPr>
            </w:pPr>
            <w:r>
              <w:rPr>
                <w:rFonts w:hint="eastAsia" w:ascii="宋体" w:hAnsi="宋体"/>
                <w:color w:val="auto"/>
                <w:lang w:val="en-US" w:eastAsia="zh-CN"/>
              </w:rPr>
              <w:t>组织的岗位职责和权限</w:t>
            </w:r>
          </w:p>
        </w:tc>
        <w:tc>
          <w:tcPr>
            <w:tcW w:w="960" w:type="dxa"/>
          </w:tcPr>
          <w:p>
            <w:pPr>
              <w:rPr>
                <w:rFonts w:hint="eastAsia" w:ascii="宋体" w:hAnsi="宋体"/>
                <w:color w:val="auto"/>
                <w:lang w:val="en-US" w:eastAsia="zh-CN"/>
              </w:rPr>
            </w:pPr>
            <w:r>
              <w:rPr>
                <w:rFonts w:hint="eastAsia" w:ascii="宋体" w:hAnsi="宋体"/>
                <w:color w:val="auto"/>
                <w:lang w:val="en-US" w:eastAsia="zh-CN"/>
              </w:rPr>
              <w:t>Q5.3</w:t>
            </w:r>
          </w:p>
        </w:tc>
        <w:tc>
          <w:tcPr>
            <w:tcW w:w="10004" w:type="dxa"/>
          </w:tcPr>
          <w:p>
            <w:pPr>
              <w:rPr>
                <w:rFonts w:hint="eastAsia" w:ascii="宋体" w:hAnsi="宋体"/>
                <w:color w:val="auto"/>
                <w:lang w:val="en-US" w:eastAsia="zh-CN"/>
              </w:rPr>
            </w:pPr>
            <w:r>
              <w:rPr>
                <w:rFonts w:hint="eastAsia" w:ascii="宋体" w:hAnsi="宋体"/>
                <w:color w:val="auto"/>
                <w:lang w:val="en-US" w:eastAsia="zh-CN"/>
              </w:rPr>
              <w:t>2019年9月贯标初期,经管理层策划公司的组织机构为4个部门，即综合部、供销部、生产部、质管部。至今组织机构未变更,在《质量手册》中明确了各部门的质量职责和权限及其接口关系。查各部门的职责与权限与《岗位能力评价表 》基本一致，基本符合标准要求。</w:t>
            </w:r>
          </w:p>
        </w:tc>
        <w:tc>
          <w:tcPr>
            <w:tcW w:w="1585" w:type="dxa"/>
          </w:tcPr>
          <w:p>
            <w:pPr>
              <w:rPr>
                <w:rFonts w:hint="eastAsia"/>
                <w:sz w:val="24"/>
                <w:lang w:val="en-US" w:eastAsia="zh-CN"/>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hint="eastAsia" w:ascii="宋体" w:hAnsi="宋体"/>
                <w:color w:val="auto"/>
                <w:lang w:val="en-US" w:eastAsia="zh-CN"/>
              </w:rPr>
            </w:pPr>
            <w:r>
              <w:rPr>
                <w:rFonts w:hint="eastAsia" w:ascii="宋体" w:hAnsi="宋体"/>
                <w:color w:val="auto"/>
                <w:lang w:val="en-US" w:eastAsia="zh-CN"/>
              </w:rPr>
              <w:t>应对风险和机遇的措施</w:t>
            </w:r>
          </w:p>
        </w:tc>
        <w:tc>
          <w:tcPr>
            <w:tcW w:w="960" w:type="dxa"/>
            <w:vAlign w:val="top"/>
          </w:tcPr>
          <w:p>
            <w:pPr>
              <w:rPr>
                <w:rFonts w:hint="eastAsia" w:ascii="宋体" w:hAnsi="宋体"/>
                <w:color w:val="auto"/>
                <w:lang w:val="en-US" w:eastAsia="zh-CN"/>
              </w:rPr>
            </w:pPr>
          </w:p>
          <w:p>
            <w:pPr>
              <w:rPr>
                <w:rFonts w:hint="eastAsia" w:ascii="宋体" w:hAnsi="宋体"/>
                <w:color w:val="auto"/>
                <w:lang w:val="en-US" w:eastAsia="zh-CN"/>
              </w:rPr>
            </w:pPr>
            <w:r>
              <w:rPr>
                <w:rFonts w:hint="eastAsia" w:ascii="宋体" w:hAnsi="宋体"/>
                <w:color w:val="auto"/>
                <w:lang w:val="en-US" w:eastAsia="zh-CN"/>
              </w:rPr>
              <w:t>6.1</w:t>
            </w:r>
          </w:p>
        </w:tc>
        <w:tc>
          <w:tcPr>
            <w:tcW w:w="10004" w:type="dxa"/>
            <w:vAlign w:val="top"/>
          </w:tcPr>
          <w:p>
            <w:pPr>
              <w:rPr>
                <w:rFonts w:hint="eastAsia" w:ascii="宋体" w:hAnsi="宋体"/>
                <w:color w:val="auto"/>
                <w:lang w:val="en-US" w:eastAsia="zh-CN"/>
              </w:rPr>
            </w:pPr>
            <w:r>
              <w:rPr>
                <w:rFonts w:hint="eastAsia" w:ascii="宋体" w:hAnsi="宋体"/>
                <w:color w:val="auto"/>
                <w:lang w:val="en-US" w:eastAsia="zh-CN"/>
              </w:rPr>
              <w:t>公司在策划质量管理体系时，为确保质量管理体系能够实现其预期结果、增强有利影响避免或减少不利影响并实现改进，管理者代表考虑公司环境有关的外部和内部因素、相关方的需求和期望，通过推动SWOT分析方法来确定应对风险和机遇措施。</w:t>
            </w:r>
          </w:p>
          <w:p>
            <w:pPr>
              <w:rPr>
                <w:rFonts w:hint="eastAsia" w:ascii="宋体" w:hAnsi="宋体"/>
                <w:color w:val="auto"/>
                <w:lang w:val="en-US" w:eastAsia="zh-CN"/>
              </w:rPr>
            </w:pPr>
            <w:r>
              <w:rPr>
                <w:rFonts w:hint="eastAsia" w:ascii="宋体" w:hAnsi="宋体"/>
                <w:color w:val="auto"/>
                <w:lang w:val="en-US" w:eastAsia="zh-CN"/>
              </w:rPr>
              <w:t>提供公司质量管理《风险和机遇评估分析表》，对顾客的要求、供应商的期望等，存在的风险和机遇进行了措施应对策划。查《风险和机会及其应对措施记录》：</w:t>
            </w:r>
          </w:p>
          <w:p>
            <w:pPr>
              <w:rPr>
                <w:rFonts w:hint="eastAsia" w:ascii="宋体" w:hAnsi="宋体"/>
                <w:color w:val="auto"/>
                <w:lang w:val="en-US" w:eastAsia="zh-CN"/>
              </w:rPr>
            </w:pPr>
            <w:r>
              <w:rPr>
                <w:rFonts w:hint="eastAsia" w:ascii="宋体" w:hAnsi="宋体"/>
                <w:color w:val="auto"/>
                <w:lang w:val="en-US" w:eastAsia="zh-CN"/>
              </w:rPr>
              <w:t>风险：顾客变化的技术要求不能及时满足的风险</w:t>
            </w:r>
          </w:p>
          <w:p>
            <w:pPr>
              <w:rPr>
                <w:rFonts w:hint="eastAsia" w:ascii="宋体" w:hAnsi="宋体"/>
                <w:color w:val="auto"/>
                <w:lang w:val="en-US" w:eastAsia="zh-CN"/>
              </w:rPr>
            </w:pPr>
            <w:r>
              <w:rPr>
                <w:rFonts w:hint="eastAsia" w:ascii="宋体" w:hAnsi="宋体"/>
                <w:color w:val="auto"/>
                <w:lang w:val="en-US" w:eastAsia="zh-CN"/>
              </w:rPr>
              <w:t>应对措施：确定与顾客对接窗口，及时与客户沟通，快速有效处理顾客反馈问题，定期了解顾客满意度并寻求改进需求，制订文件《顾客满意程度测量程序》，明确具体与客户沟通的内容、时机及方式</w:t>
            </w:r>
          </w:p>
          <w:p>
            <w:pPr>
              <w:rPr>
                <w:rFonts w:hint="eastAsia" w:ascii="宋体" w:hAnsi="宋体"/>
                <w:color w:val="auto"/>
                <w:lang w:val="en-US" w:eastAsia="zh-CN"/>
              </w:rPr>
            </w:pPr>
            <w:r>
              <w:rPr>
                <w:rFonts w:hint="eastAsia" w:ascii="宋体" w:hAnsi="宋体"/>
                <w:color w:val="auto"/>
                <w:lang w:val="en-US" w:eastAsia="zh-CN"/>
              </w:rPr>
              <w:t>风险：原物料质量、价格波动风险</w:t>
            </w:r>
          </w:p>
          <w:p>
            <w:pPr>
              <w:rPr>
                <w:rFonts w:hint="eastAsia" w:ascii="宋体" w:hAnsi="宋体"/>
                <w:color w:val="auto"/>
                <w:lang w:val="en-US" w:eastAsia="zh-CN"/>
              </w:rPr>
            </w:pPr>
            <w:r>
              <w:rPr>
                <w:rFonts w:hint="eastAsia" w:ascii="宋体" w:hAnsi="宋体"/>
                <w:color w:val="auto"/>
                <w:lang w:val="en-US" w:eastAsia="zh-CN"/>
              </w:rPr>
              <w:t>应对措施：定期对外部供方进行评价和监控，签订合约做风险转嫁，制定文件《外部提供过程产品和服务的控制程序》等文件，对合格供方按标准要求进行评定，并对合同信息完善</w:t>
            </w:r>
          </w:p>
          <w:p>
            <w:pPr>
              <w:rPr>
                <w:rFonts w:hint="eastAsia" w:ascii="宋体" w:hAnsi="宋体"/>
                <w:color w:val="auto"/>
                <w:lang w:val="en-US" w:eastAsia="zh-CN"/>
              </w:rPr>
            </w:pPr>
            <w:r>
              <w:rPr>
                <w:rFonts w:hint="eastAsia" w:ascii="宋体" w:hAnsi="宋体"/>
                <w:color w:val="auto"/>
                <w:lang w:val="en-US" w:eastAsia="zh-CN"/>
              </w:rPr>
              <w:t>机遇：服务意识好</w:t>
            </w:r>
          </w:p>
          <w:p>
            <w:pPr>
              <w:rPr>
                <w:rFonts w:hint="eastAsia" w:ascii="宋体" w:hAnsi="宋体"/>
                <w:color w:val="auto"/>
                <w:lang w:val="en-US" w:eastAsia="zh-CN"/>
              </w:rPr>
            </w:pPr>
            <w:r>
              <w:rPr>
                <w:rFonts w:hint="eastAsia" w:ascii="宋体" w:hAnsi="宋体"/>
                <w:color w:val="auto"/>
                <w:lang w:val="en-US" w:eastAsia="zh-CN"/>
              </w:rPr>
              <w:t>应对措施：确保顾客的满意度，提高市场占有率，同时为开拓新市场提供良好的口碑，进行人员服务意识培训，加强与顾客沟通。</w:t>
            </w:r>
          </w:p>
        </w:tc>
        <w:tc>
          <w:tcPr>
            <w:tcW w:w="1585" w:type="dxa"/>
          </w:tcPr>
          <w:p>
            <w:pPr>
              <w:rPr>
                <w:sz w:val="24"/>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60" w:type="dxa"/>
          </w:tcPr>
          <w:p>
            <w:pPr>
              <w:rPr>
                <w:rFonts w:hint="eastAsia" w:ascii="宋体" w:hAnsi="宋体"/>
                <w:color w:val="auto"/>
                <w:lang w:val="en-US" w:eastAsia="zh-CN"/>
              </w:rPr>
            </w:pPr>
            <w:r>
              <w:rPr>
                <w:rFonts w:hint="eastAsia" w:ascii="宋体" w:hAnsi="宋体"/>
                <w:color w:val="auto"/>
                <w:lang w:val="en-US" w:eastAsia="zh-CN"/>
              </w:rPr>
              <w:t>目标完成情况</w:t>
            </w:r>
          </w:p>
        </w:tc>
        <w:tc>
          <w:tcPr>
            <w:tcW w:w="960" w:type="dxa"/>
          </w:tcPr>
          <w:p>
            <w:pPr>
              <w:rPr>
                <w:rFonts w:hint="eastAsia" w:ascii="宋体" w:hAnsi="宋体"/>
                <w:color w:val="auto"/>
                <w:lang w:val="en-US" w:eastAsia="zh-CN"/>
              </w:rPr>
            </w:pPr>
            <w:r>
              <w:rPr>
                <w:rFonts w:hint="eastAsia" w:ascii="宋体" w:hAnsi="宋体"/>
                <w:color w:val="auto"/>
                <w:lang w:val="en-US" w:eastAsia="zh-CN"/>
              </w:rPr>
              <w:t>Q6.2</w:t>
            </w:r>
          </w:p>
        </w:tc>
        <w:tc>
          <w:tcPr>
            <w:tcW w:w="10004" w:type="dxa"/>
          </w:tcPr>
          <w:p>
            <w:pPr>
              <w:rPr>
                <w:rFonts w:hint="eastAsia" w:ascii="宋体" w:hAnsi="宋体"/>
                <w:color w:val="auto"/>
                <w:lang w:val="en-US" w:eastAsia="zh-CN"/>
              </w:rPr>
            </w:pPr>
            <w:r>
              <w:rPr>
                <w:rFonts w:hint="eastAsia" w:ascii="宋体" w:hAnsi="宋体"/>
                <w:color w:val="auto"/>
                <w:lang w:val="en-US" w:eastAsia="zh-CN"/>
              </w:rPr>
              <w:t>查《管理手册》中06质量方针和目标 章节中</w:t>
            </w:r>
          </w:p>
          <w:p>
            <w:pPr>
              <w:rPr>
                <w:rFonts w:hint="eastAsia" w:ascii="宋体" w:hAnsi="宋体"/>
                <w:color w:val="auto"/>
                <w:lang w:val="en-US" w:eastAsia="zh-CN"/>
              </w:rPr>
            </w:pPr>
            <w:r>
              <w:rPr>
                <w:rFonts w:hint="eastAsia" w:ascii="宋体" w:hAnsi="宋体"/>
                <w:color w:val="auto"/>
                <w:lang w:val="en-US" w:eastAsia="zh-CN"/>
              </w:rPr>
              <w:t>企业质量目标：一次性检验合格率达到95%以上；</w:t>
            </w:r>
          </w:p>
          <w:p>
            <w:pPr>
              <w:rPr>
                <w:rFonts w:hint="eastAsia" w:ascii="宋体" w:hAnsi="宋体"/>
                <w:color w:val="auto"/>
                <w:lang w:val="en-US" w:eastAsia="zh-CN"/>
              </w:rPr>
            </w:pPr>
            <w:r>
              <w:rPr>
                <w:rFonts w:hint="eastAsia" w:ascii="宋体" w:hAnsi="宋体"/>
                <w:color w:val="auto"/>
                <w:lang w:val="en-US" w:eastAsia="zh-CN"/>
              </w:rPr>
              <w:t>产品出厂检验合格率100%；</w:t>
            </w:r>
          </w:p>
          <w:p>
            <w:pPr>
              <w:rPr>
                <w:rFonts w:hint="eastAsia" w:ascii="宋体" w:hAnsi="宋体"/>
                <w:color w:val="auto"/>
                <w:lang w:val="en-US" w:eastAsia="zh-CN"/>
              </w:rPr>
            </w:pPr>
            <w:r>
              <w:rPr>
                <w:rFonts w:hint="eastAsia" w:ascii="宋体" w:hAnsi="宋体"/>
                <w:color w:val="auto"/>
                <w:lang w:val="en-US" w:eastAsia="zh-CN"/>
              </w:rPr>
              <w:t>顾客满意度达到90%以上;</w:t>
            </w:r>
          </w:p>
          <w:p>
            <w:pPr>
              <w:rPr>
                <w:rFonts w:hint="default" w:ascii="宋体" w:hAnsi="宋体"/>
                <w:color w:val="auto"/>
                <w:lang w:val="en-US" w:eastAsia="zh-CN"/>
              </w:rPr>
            </w:pPr>
            <w:r>
              <w:rPr>
                <w:rFonts w:hint="eastAsia" w:ascii="宋体" w:hAnsi="宋体"/>
                <w:color w:val="auto"/>
                <w:lang w:val="en-US" w:eastAsia="zh-CN"/>
              </w:rPr>
              <w:t>查2021.1-2021.3质量目标完成情况表，明确了目标的考核频次、计算方法、责任部门等。经查：目标均已完成。</w:t>
            </w:r>
          </w:p>
        </w:tc>
        <w:tc>
          <w:tcPr>
            <w:tcW w:w="1585" w:type="dxa"/>
          </w:tcPr>
          <w:p>
            <w:pPr>
              <w:rPr>
                <w:sz w:val="24"/>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160" w:type="dxa"/>
          </w:tcPr>
          <w:p>
            <w:pPr>
              <w:rPr>
                <w:rFonts w:hint="default" w:ascii="宋体" w:hAnsi="宋体"/>
                <w:color w:val="auto"/>
                <w:lang w:val="en-US" w:eastAsia="zh-CN"/>
              </w:rPr>
            </w:pPr>
            <w:r>
              <w:rPr>
                <w:rFonts w:hint="eastAsia" w:ascii="宋体" w:hAnsi="宋体"/>
                <w:color w:val="auto"/>
                <w:lang w:val="en-US" w:eastAsia="zh-CN"/>
              </w:rPr>
              <w:t>变更策划</w:t>
            </w:r>
          </w:p>
        </w:tc>
        <w:tc>
          <w:tcPr>
            <w:tcW w:w="960" w:type="dxa"/>
          </w:tcPr>
          <w:p>
            <w:pPr>
              <w:rPr>
                <w:rFonts w:hint="eastAsia" w:ascii="宋体" w:hAnsi="宋体"/>
                <w:color w:val="auto"/>
                <w:lang w:val="en-US" w:eastAsia="zh-CN"/>
              </w:rPr>
            </w:pPr>
            <w:r>
              <w:rPr>
                <w:rFonts w:hint="eastAsia" w:ascii="宋体" w:hAnsi="宋体"/>
                <w:color w:val="auto"/>
                <w:lang w:val="en-US" w:eastAsia="zh-CN"/>
              </w:rPr>
              <w:t>Q6.3</w:t>
            </w:r>
          </w:p>
        </w:tc>
        <w:tc>
          <w:tcPr>
            <w:tcW w:w="10004" w:type="dxa"/>
          </w:tcPr>
          <w:p>
            <w:pPr>
              <w:rPr>
                <w:rFonts w:hint="default" w:ascii="宋体" w:hAnsi="宋体"/>
                <w:color w:val="auto"/>
                <w:lang w:val="en-US" w:eastAsia="zh-CN"/>
              </w:rPr>
            </w:pPr>
            <w:r>
              <w:rPr>
                <w:rFonts w:hint="eastAsia" w:ascii="宋体" w:hAnsi="宋体"/>
                <w:color w:val="auto"/>
                <w:lang w:val="en-US" w:eastAsia="zh-CN"/>
              </w:rPr>
              <w:t>在《管理手册》中6.3条款 有变更策划要求，目前公司体系于2019年9月建立，尚未发生变更。</w:t>
            </w:r>
          </w:p>
        </w:tc>
        <w:tc>
          <w:tcPr>
            <w:tcW w:w="1585" w:type="dxa"/>
          </w:tcPr>
          <w:p>
            <w:pPr>
              <w:rPr>
                <w:rFonts w:hint="eastAsia"/>
                <w:sz w:val="24"/>
                <w:lang w:val="en-US" w:eastAsia="zh-CN"/>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trPr>
        <w:tc>
          <w:tcPr>
            <w:tcW w:w="2160" w:type="dxa"/>
          </w:tcPr>
          <w:p>
            <w:pPr>
              <w:rPr>
                <w:rFonts w:hint="eastAsia" w:ascii="宋体" w:hAnsi="宋体"/>
                <w:color w:val="auto"/>
                <w:lang w:val="en-US" w:eastAsia="zh-CN"/>
              </w:rPr>
            </w:pPr>
          </w:p>
          <w:p>
            <w:pPr>
              <w:rPr>
                <w:rFonts w:hint="eastAsia" w:ascii="宋体" w:hAnsi="宋体"/>
                <w:color w:val="auto"/>
                <w:lang w:val="en-US" w:eastAsia="zh-CN"/>
              </w:rPr>
            </w:pPr>
          </w:p>
          <w:p>
            <w:pPr>
              <w:rPr>
                <w:rFonts w:hint="default" w:ascii="宋体" w:hAnsi="宋体"/>
                <w:color w:val="auto"/>
                <w:lang w:val="en-US" w:eastAsia="zh-CN"/>
              </w:rPr>
            </w:pPr>
            <w:r>
              <w:rPr>
                <w:rFonts w:hint="eastAsia" w:ascii="宋体" w:hAnsi="宋体"/>
                <w:color w:val="auto"/>
                <w:lang w:val="en-US" w:eastAsia="zh-CN"/>
              </w:rPr>
              <w:t>资源配置</w:t>
            </w:r>
          </w:p>
        </w:tc>
        <w:tc>
          <w:tcPr>
            <w:tcW w:w="960" w:type="dxa"/>
          </w:tcPr>
          <w:p>
            <w:pPr>
              <w:rPr>
                <w:rFonts w:hint="eastAsia" w:ascii="宋体" w:hAnsi="宋体"/>
                <w:color w:val="auto"/>
                <w:lang w:val="en-US" w:eastAsia="zh-CN"/>
              </w:rPr>
            </w:pPr>
          </w:p>
          <w:p>
            <w:pPr>
              <w:rPr>
                <w:rFonts w:hint="eastAsia" w:ascii="宋体" w:hAnsi="宋体"/>
                <w:color w:val="auto"/>
                <w:lang w:val="en-US" w:eastAsia="zh-CN"/>
              </w:rPr>
            </w:pPr>
            <w:r>
              <w:rPr>
                <w:rFonts w:hint="eastAsia" w:ascii="宋体" w:hAnsi="宋体"/>
                <w:color w:val="auto"/>
                <w:lang w:val="en-US" w:eastAsia="zh-CN"/>
              </w:rPr>
              <w:t>Q7.1.1</w:t>
            </w:r>
          </w:p>
          <w:p>
            <w:pPr>
              <w:rPr>
                <w:rFonts w:hint="eastAsia" w:ascii="宋体" w:hAnsi="宋体"/>
                <w:color w:val="auto"/>
                <w:lang w:val="en-US" w:eastAsia="zh-CN"/>
              </w:rPr>
            </w:pPr>
          </w:p>
        </w:tc>
        <w:tc>
          <w:tcPr>
            <w:tcW w:w="10004" w:type="dxa"/>
          </w:tcPr>
          <w:p>
            <w:pPr>
              <w:rPr>
                <w:rFonts w:hint="eastAsia" w:ascii="宋体" w:hAnsi="宋体"/>
                <w:color w:val="auto"/>
                <w:lang w:val="en-US" w:eastAsia="zh-CN"/>
              </w:rPr>
            </w:pPr>
            <w:r>
              <w:rPr>
                <w:rFonts w:hint="eastAsia" w:ascii="宋体" w:hAnsi="宋体"/>
                <w:color w:val="auto"/>
                <w:lang w:val="en-US" w:eastAsia="zh-CN"/>
              </w:rPr>
              <w:t>查：</w:t>
            </w:r>
            <w:r>
              <w:rPr>
                <w:rFonts w:hint="default" w:ascii="宋体" w:hAnsi="宋体"/>
                <w:color w:val="auto"/>
                <w:lang w:val="en-US" w:eastAsia="zh-CN"/>
              </w:rPr>
              <w:t>为更好的为顾客服务，让顾客满意，公司注册资金</w:t>
            </w:r>
            <w:r>
              <w:rPr>
                <w:rFonts w:hint="eastAsia" w:ascii="宋体" w:hAnsi="宋体"/>
                <w:color w:val="auto"/>
                <w:lang w:val="en-US" w:eastAsia="zh-CN"/>
              </w:rPr>
              <w:t>5</w:t>
            </w:r>
            <w:r>
              <w:rPr>
                <w:rFonts w:hint="default" w:ascii="宋体" w:hAnsi="宋体"/>
                <w:color w:val="auto"/>
                <w:lang w:val="en-US" w:eastAsia="zh-CN"/>
              </w:rPr>
              <w:t>0万元，</w:t>
            </w:r>
            <w:r>
              <w:rPr>
                <w:rFonts w:hint="eastAsia" w:ascii="宋体" w:hAnsi="宋体"/>
                <w:color w:val="auto"/>
                <w:lang w:val="en-US" w:eastAsia="zh-CN"/>
              </w:rPr>
              <w:t>生产</w:t>
            </w:r>
            <w:r>
              <w:rPr>
                <w:rFonts w:hint="default" w:ascii="宋体" w:hAnsi="宋体"/>
                <w:color w:val="auto"/>
                <w:lang w:val="en-US" w:eastAsia="zh-CN"/>
              </w:rPr>
              <w:t>区域</w:t>
            </w:r>
            <w:r>
              <w:rPr>
                <w:rFonts w:hint="eastAsia" w:ascii="宋体" w:hAnsi="宋体"/>
                <w:color w:val="auto"/>
                <w:lang w:val="en-US" w:eastAsia="zh-CN"/>
              </w:rPr>
              <w:t>1500</w:t>
            </w:r>
            <w:r>
              <w:rPr>
                <w:rFonts w:hint="default" w:ascii="宋体" w:hAnsi="宋体"/>
                <w:color w:val="auto"/>
                <w:lang w:val="en-US" w:eastAsia="zh-CN"/>
              </w:rPr>
              <w:t>多平米，提供了良好的办公环境和较为充分基础设施设备，公司目前</w:t>
            </w:r>
            <w:r>
              <w:rPr>
                <w:rFonts w:hint="eastAsia" w:ascii="宋体" w:hAnsi="宋体"/>
                <w:color w:val="auto"/>
                <w:lang w:val="en-US" w:eastAsia="zh-CN"/>
              </w:rPr>
              <w:t>18</w:t>
            </w:r>
            <w:r>
              <w:rPr>
                <w:rFonts w:hint="default" w:ascii="宋体" w:hAnsi="宋体"/>
                <w:color w:val="auto"/>
                <w:lang w:val="en-US" w:eastAsia="zh-CN"/>
              </w:rPr>
              <w:t>人，提供了基本的技术保障</w:t>
            </w:r>
            <w:r>
              <w:rPr>
                <w:rFonts w:hint="eastAsia" w:ascii="宋体" w:hAnsi="宋体"/>
                <w:color w:val="auto"/>
                <w:lang w:val="en-US" w:eastAsia="zh-CN"/>
              </w:rPr>
              <w:t>。</w:t>
            </w:r>
          </w:p>
          <w:p>
            <w:pPr>
              <w:rPr>
                <w:rFonts w:hint="eastAsia" w:ascii="宋体" w:hAnsi="宋体"/>
                <w:color w:val="auto"/>
                <w:lang w:val="en-US" w:eastAsia="zh-CN"/>
              </w:rPr>
            </w:pPr>
            <w:r>
              <w:rPr>
                <w:rFonts w:hint="eastAsia" w:ascii="宋体" w:hAnsi="宋体"/>
                <w:color w:val="auto"/>
                <w:lang w:val="en-US" w:eastAsia="zh-CN"/>
              </w:rPr>
              <w:t>提供设备设施：加工中心，车床，铣床，端面铣床，线切割，穿孔机，平面磨床，摇臂钻床，台钻，攻丝机，冲床 ；同时配备了用于测量的外径千分尺，游标卡尺，游标高度尺，卷尺等设备能力基本满足要求</w:t>
            </w:r>
          </w:p>
          <w:p>
            <w:pPr>
              <w:rPr>
                <w:rFonts w:hint="eastAsia" w:ascii="宋体" w:hAnsi="宋体"/>
                <w:color w:val="auto"/>
                <w:lang w:val="en-US" w:eastAsia="zh-CN"/>
              </w:rPr>
            </w:pPr>
            <w:r>
              <w:rPr>
                <w:rFonts w:hint="eastAsia" w:ascii="宋体" w:hAnsi="宋体"/>
                <w:color w:val="auto"/>
                <w:lang w:val="en-US" w:eastAsia="zh-CN"/>
              </w:rPr>
              <w:t>配置了所需的人员，查电工证书：陈天明，证书号：T342923199311170715，有效期至：2022年5月11日，并对人员进行评价，确保人员符合要求，查看《员工评价表》，各部门人员符合要求；，详见Q7.2</w:t>
            </w:r>
          </w:p>
          <w:p>
            <w:pPr>
              <w:rPr>
                <w:rFonts w:hint="default" w:ascii="宋体" w:hAnsi="宋体"/>
                <w:color w:val="auto"/>
                <w:lang w:val="en-US" w:eastAsia="zh-CN"/>
              </w:rPr>
            </w:pPr>
            <w:r>
              <w:rPr>
                <w:rFonts w:hint="eastAsia" w:ascii="宋体" w:hAnsi="宋体"/>
                <w:color w:val="auto"/>
                <w:lang w:val="en-US" w:eastAsia="zh-CN"/>
              </w:rPr>
              <w:t>厂房为企业自己厂房。</w:t>
            </w:r>
          </w:p>
        </w:tc>
        <w:tc>
          <w:tcPr>
            <w:tcW w:w="1585" w:type="dxa"/>
          </w:tcPr>
          <w:p>
            <w:pPr>
              <w:rPr>
                <w:sz w:val="24"/>
              </w:rPr>
            </w:pPr>
          </w:p>
          <w:p>
            <w:pPr>
              <w:rPr>
                <w:sz w:val="24"/>
              </w:rPr>
            </w:pPr>
            <w:r>
              <w:rPr>
                <w:rFonts w:hint="eastAsia"/>
                <w:sz w:val="24"/>
                <w:lang w:val="en-US" w:eastAsia="zh-CN"/>
              </w:rPr>
              <w:t>符合</w:t>
            </w: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2160" w:type="dxa"/>
          </w:tcPr>
          <w:p>
            <w:pPr>
              <w:rPr>
                <w:rFonts w:hint="eastAsia" w:ascii="宋体" w:hAnsi="宋体"/>
                <w:color w:val="auto"/>
                <w:lang w:val="en-US" w:eastAsia="zh-CN"/>
              </w:rPr>
            </w:pPr>
            <w:r>
              <w:rPr>
                <w:rFonts w:hint="eastAsia" w:ascii="宋体" w:hAnsi="宋体"/>
                <w:color w:val="auto"/>
                <w:lang w:val="en-US" w:eastAsia="zh-CN"/>
              </w:rPr>
              <w:t>沟通</w:t>
            </w:r>
          </w:p>
        </w:tc>
        <w:tc>
          <w:tcPr>
            <w:tcW w:w="960" w:type="dxa"/>
          </w:tcPr>
          <w:p>
            <w:pPr>
              <w:rPr>
                <w:rFonts w:hint="eastAsia" w:ascii="宋体" w:hAnsi="宋体"/>
                <w:color w:val="auto"/>
                <w:lang w:val="en-US" w:eastAsia="zh-CN"/>
              </w:rPr>
            </w:pPr>
            <w:r>
              <w:rPr>
                <w:rFonts w:hint="eastAsia" w:ascii="宋体" w:hAnsi="宋体"/>
                <w:color w:val="auto"/>
                <w:lang w:val="en-US" w:eastAsia="zh-CN"/>
              </w:rPr>
              <w:t>Q7.4</w:t>
            </w:r>
          </w:p>
        </w:tc>
        <w:tc>
          <w:tcPr>
            <w:tcW w:w="10004" w:type="dxa"/>
          </w:tcPr>
          <w:p>
            <w:pPr>
              <w:rPr>
                <w:rFonts w:hint="eastAsia" w:ascii="宋体" w:hAnsi="宋体"/>
                <w:color w:val="auto"/>
                <w:lang w:val="en-US" w:eastAsia="zh-CN"/>
              </w:rPr>
            </w:pPr>
            <w:r>
              <w:rPr>
                <w:rFonts w:hint="eastAsia" w:ascii="宋体" w:hAnsi="宋体"/>
                <w:color w:val="auto"/>
                <w:lang w:val="en-US" w:eastAsia="zh-CN"/>
              </w:rPr>
              <w:t>编辑了《沟通控制程序》，公司目前内部沟通过程安排实施如下：</w:t>
            </w:r>
          </w:p>
          <w:p>
            <w:pPr>
              <w:rPr>
                <w:rFonts w:hint="eastAsia" w:ascii="宋体" w:hAnsi="宋体"/>
                <w:color w:val="auto"/>
                <w:lang w:val="en-US" w:eastAsia="zh-CN"/>
              </w:rPr>
            </w:pPr>
            <w:r>
              <w:rPr>
                <w:rFonts w:hint="eastAsia" w:ascii="宋体" w:hAnsi="宋体"/>
                <w:color w:val="auto"/>
                <w:lang w:val="en-US" w:eastAsia="zh-CN"/>
              </w:rPr>
              <w:t>1．公司主要通过综合分析会议、部门协调会，对顾客要求、产品质量、生产进度、体系运行情况等内容进行沟通交流，且对次月的工作安排提出要求；</w:t>
            </w:r>
          </w:p>
          <w:p>
            <w:pPr>
              <w:rPr>
                <w:rFonts w:hint="eastAsia" w:ascii="宋体" w:hAnsi="宋体"/>
                <w:color w:val="auto"/>
                <w:lang w:val="en-US" w:eastAsia="zh-CN"/>
              </w:rPr>
            </w:pPr>
            <w:r>
              <w:rPr>
                <w:rFonts w:hint="eastAsia" w:ascii="宋体" w:hAnsi="宋体"/>
                <w:color w:val="auto"/>
                <w:lang w:val="en-US" w:eastAsia="zh-CN"/>
              </w:rPr>
              <w:t>2．各部门自行召开工作会议讨论交流，实现部门内的信息交流；</w:t>
            </w:r>
          </w:p>
          <w:p>
            <w:pPr>
              <w:rPr>
                <w:rFonts w:hint="eastAsia" w:ascii="宋体" w:hAnsi="宋体"/>
                <w:color w:val="auto"/>
                <w:lang w:val="en-US" w:eastAsia="zh-CN"/>
              </w:rPr>
            </w:pPr>
            <w:r>
              <w:rPr>
                <w:rFonts w:hint="eastAsia" w:ascii="宋体" w:hAnsi="宋体"/>
                <w:color w:val="auto"/>
                <w:lang w:val="en-US" w:eastAsia="zh-CN"/>
              </w:rPr>
              <w:t>3．公司自上而下通过书面资料、会议、通知、电话、网络、公告、发文、培训、质量记录等，实现部门间的信息交流。</w:t>
            </w:r>
          </w:p>
          <w:p>
            <w:pPr>
              <w:rPr>
                <w:rFonts w:hint="eastAsia" w:ascii="宋体" w:hAnsi="宋体"/>
                <w:color w:val="auto"/>
                <w:lang w:val="en-US" w:eastAsia="zh-CN"/>
              </w:rPr>
            </w:pPr>
            <w:r>
              <w:rPr>
                <w:rFonts w:hint="eastAsia" w:ascii="宋体" w:hAnsi="宋体"/>
                <w:color w:val="auto"/>
                <w:lang w:val="en-US" w:eastAsia="zh-CN"/>
              </w:rPr>
              <w:t>外部信息：</w:t>
            </w:r>
          </w:p>
          <w:p>
            <w:pPr>
              <w:rPr>
                <w:rFonts w:hint="default" w:ascii="宋体" w:hAnsi="宋体"/>
                <w:color w:val="auto"/>
                <w:lang w:val="en-US" w:eastAsia="zh-CN"/>
              </w:rPr>
            </w:pPr>
            <w:r>
              <w:rPr>
                <w:rFonts w:hint="default" w:ascii="宋体" w:hAnsi="宋体"/>
                <w:color w:val="auto"/>
                <w:lang w:val="en-US" w:eastAsia="zh-CN"/>
              </w:rPr>
              <w:t>a）质量技术监督局、商检局、公证处、认证机构等监测或检查的结果及反馈的信息； </w:t>
            </w:r>
          </w:p>
          <w:p>
            <w:pPr>
              <w:rPr>
                <w:rFonts w:hint="default" w:ascii="宋体" w:hAnsi="宋体"/>
                <w:color w:val="auto"/>
                <w:lang w:val="en-US" w:eastAsia="zh-CN"/>
              </w:rPr>
            </w:pPr>
            <w:r>
              <w:rPr>
                <w:rFonts w:hint="default" w:ascii="宋体" w:hAnsi="宋体"/>
                <w:color w:val="auto"/>
                <w:lang w:val="en-US" w:eastAsia="zh-CN"/>
              </w:rPr>
              <w:t>b）政策法规标准类信息，如质量法律、法规、条例、产品标准等； </w:t>
            </w:r>
          </w:p>
          <w:p>
            <w:pPr>
              <w:rPr>
                <w:rFonts w:hint="default" w:ascii="宋体" w:hAnsi="宋体"/>
                <w:color w:val="auto"/>
                <w:lang w:val="en-US" w:eastAsia="zh-CN"/>
              </w:rPr>
            </w:pPr>
            <w:r>
              <w:rPr>
                <w:rFonts w:hint="default" w:ascii="宋体" w:hAnsi="宋体"/>
                <w:color w:val="auto"/>
                <w:lang w:val="en-US" w:eastAsia="zh-CN"/>
              </w:rPr>
              <w:t>c）相关方（顾客、供方、计量单位、媒体等）反馈的信息及其投诉等； </w:t>
            </w:r>
          </w:p>
          <w:p>
            <w:pPr>
              <w:rPr>
                <w:rFonts w:hint="default" w:ascii="宋体" w:hAnsi="宋体"/>
                <w:color w:val="auto"/>
                <w:lang w:val="en-US" w:eastAsia="zh-CN"/>
              </w:rPr>
            </w:pPr>
            <w:r>
              <w:rPr>
                <w:rFonts w:hint="default" w:ascii="宋体" w:hAnsi="宋体"/>
                <w:color w:val="auto"/>
                <w:lang w:val="en-US" w:eastAsia="zh-CN"/>
              </w:rPr>
              <w:t>d）其他外部信息，如各部门直接从外部获取的有质量改进技术，质量管理等方面的信息。</w:t>
            </w:r>
          </w:p>
          <w:p>
            <w:pPr>
              <w:rPr>
                <w:rFonts w:hint="default" w:ascii="宋体" w:hAnsi="宋体"/>
                <w:color w:val="auto"/>
                <w:lang w:val="en-US" w:eastAsia="zh-CN"/>
              </w:rPr>
            </w:pPr>
            <w:r>
              <w:rPr>
                <w:rFonts w:hint="default" w:ascii="宋体" w:hAnsi="宋体"/>
                <w:color w:val="auto"/>
                <w:lang w:val="en-US" w:eastAsia="zh-CN"/>
              </w:rPr>
              <w:t>内部信息包括： </w:t>
            </w:r>
          </w:p>
          <w:p>
            <w:pPr>
              <w:rPr>
                <w:rFonts w:hint="default" w:ascii="宋体" w:hAnsi="宋体"/>
                <w:color w:val="auto"/>
                <w:lang w:val="en-US" w:eastAsia="zh-CN"/>
              </w:rPr>
            </w:pPr>
            <w:r>
              <w:rPr>
                <w:rFonts w:hint="default" w:ascii="宋体" w:hAnsi="宋体"/>
                <w:color w:val="auto"/>
                <w:lang w:val="en-US" w:eastAsia="zh-CN"/>
              </w:rPr>
              <w:t>a)正常信息，如质量方针（目标）及完成情况、测量和监控记录、内部审核与质量评审报告以及体系正常运行时的其他记录等； </w:t>
            </w:r>
          </w:p>
          <w:p>
            <w:pPr>
              <w:rPr>
                <w:rFonts w:hint="default" w:ascii="宋体" w:hAnsi="宋体"/>
                <w:color w:val="auto"/>
                <w:lang w:val="en-US" w:eastAsia="zh-CN"/>
              </w:rPr>
            </w:pPr>
            <w:r>
              <w:rPr>
                <w:rFonts w:hint="default" w:ascii="宋体" w:hAnsi="宋体"/>
                <w:color w:val="auto"/>
                <w:lang w:val="en-US" w:eastAsia="zh-CN"/>
              </w:rPr>
              <w:t>b)（潜在）不符合信息，如体系内部审核的不合格报告，纠正和预防措施处理单等； </w:t>
            </w:r>
          </w:p>
          <w:p>
            <w:pPr>
              <w:rPr>
                <w:rFonts w:hint="default" w:ascii="宋体" w:hAnsi="宋体"/>
                <w:color w:val="auto"/>
                <w:lang w:val="en-US" w:eastAsia="zh-CN"/>
              </w:rPr>
            </w:pPr>
            <w:r>
              <w:rPr>
                <w:rFonts w:hint="default" w:ascii="宋体" w:hAnsi="宋体"/>
                <w:color w:val="auto"/>
                <w:lang w:val="en-US" w:eastAsia="zh-CN"/>
              </w:rPr>
              <w:t>c)紧急信息，如出现重大质量事故等情况下的信息和记录； </w:t>
            </w:r>
          </w:p>
          <w:p>
            <w:pPr>
              <w:rPr>
                <w:rFonts w:hint="default" w:ascii="宋体" w:hAnsi="宋体"/>
                <w:color w:val="auto"/>
                <w:lang w:val="en-US" w:eastAsia="zh-CN"/>
              </w:rPr>
            </w:pPr>
            <w:r>
              <w:rPr>
                <w:rFonts w:hint="default" w:ascii="宋体" w:hAnsi="宋体"/>
                <w:color w:val="auto"/>
                <w:lang w:val="en-US" w:eastAsia="zh-CN"/>
              </w:rPr>
              <w:t>d)其他内部信息（如员工的建议等）； </w:t>
            </w:r>
          </w:p>
        </w:tc>
        <w:tc>
          <w:tcPr>
            <w:tcW w:w="1585" w:type="dxa"/>
          </w:tcPr>
          <w:p>
            <w:pPr>
              <w:rPr>
                <w:sz w:val="24"/>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default" w:ascii="宋体" w:hAnsi="宋体"/>
                <w:color w:val="auto"/>
                <w:lang w:val="en-US" w:eastAsia="zh-CN"/>
              </w:rPr>
            </w:pPr>
            <w:r>
              <w:rPr>
                <w:rFonts w:hint="eastAsia" w:ascii="宋体" w:hAnsi="宋体"/>
                <w:color w:val="auto"/>
                <w:lang w:val="en-US" w:eastAsia="zh-CN"/>
              </w:rPr>
              <w:t>监视测量分析评价</w:t>
            </w:r>
          </w:p>
        </w:tc>
        <w:tc>
          <w:tcPr>
            <w:tcW w:w="960" w:type="dxa"/>
          </w:tcPr>
          <w:p>
            <w:pPr>
              <w:rPr>
                <w:rFonts w:hint="default" w:ascii="宋体" w:hAnsi="宋体"/>
                <w:color w:val="auto"/>
                <w:lang w:val="en-US" w:eastAsia="zh-CN"/>
              </w:rPr>
            </w:pPr>
            <w:r>
              <w:rPr>
                <w:rFonts w:hint="default" w:ascii="宋体" w:hAnsi="宋体"/>
                <w:color w:val="auto"/>
                <w:lang w:val="en-US" w:eastAsia="zh-CN"/>
              </w:rPr>
              <w:t>Q</w:t>
            </w:r>
            <w:r>
              <w:rPr>
                <w:rFonts w:hint="eastAsia" w:ascii="宋体" w:hAnsi="宋体"/>
                <w:color w:val="auto"/>
                <w:lang w:val="en-US" w:eastAsia="zh-CN"/>
              </w:rPr>
              <w:t>9.1.1</w:t>
            </w:r>
          </w:p>
          <w:p>
            <w:pPr>
              <w:rPr>
                <w:rFonts w:hint="default" w:ascii="宋体" w:hAnsi="宋体"/>
                <w:color w:val="auto"/>
                <w:lang w:val="en-US" w:eastAsia="zh-CN"/>
              </w:rPr>
            </w:pPr>
            <w:r>
              <w:rPr>
                <w:rFonts w:hint="default" w:ascii="宋体" w:hAnsi="宋体"/>
                <w:color w:val="auto"/>
                <w:lang w:val="en-US" w:eastAsia="zh-CN"/>
              </w:rPr>
              <w:t>Q</w:t>
            </w:r>
            <w:r>
              <w:rPr>
                <w:rFonts w:hint="eastAsia" w:ascii="宋体" w:hAnsi="宋体"/>
                <w:color w:val="auto"/>
                <w:lang w:val="en-US" w:eastAsia="zh-CN"/>
              </w:rPr>
              <w:t>9.1.3</w:t>
            </w:r>
          </w:p>
          <w:p>
            <w:pPr>
              <w:rPr>
                <w:rFonts w:hint="default" w:ascii="宋体" w:hAnsi="宋体"/>
                <w:color w:val="auto"/>
                <w:lang w:val="en-US" w:eastAsia="zh-CN"/>
              </w:rPr>
            </w:pPr>
          </w:p>
        </w:tc>
        <w:tc>
          <w:tcPr>
            <w:tcW w:w="10004" w:type="dxa"/>
          </w:tcPr>
          <w:p>
            <w:pPr>
              <w:rPr>
                <w:rFonts w:hint="default" w:ascii="宋体" w:hAnsi="宋体"/>
                <w:color w:val="auto"/>
                <w:lang w:val="en-US" w:eastAsia="zh-CN"/>
              </w:rPr>
            </w:pPr>
            <w:r>
              <w:rPr>
                <w:rFonts w:hint="eastAsia" w:ascii="宋体" w:hAnsi="宋体"/>
                <w:color w:val="auto"/>
                <w:lang w:val="en-US" w:eastAsia="zh-CN"/>
              </w:rPr>
              <w:t>公司编辑了《监视和测量资源控制程序》、《监视、测量、分析和评价控制程序》、《内部审核程序》、《改进控制程序》、《风险和机遇控制程序》和《管理评审控制程序》等文件规定了组织综合部等部门针对产品、过程和管理体系符合性和持续改进体系有效性方面所需的监视、测量、分析和改进的方法、频次和记录进行安排并实施，包括适用的统计工具的应用，最终的目的是为了实现符合顾客和法规要求优质工程，确保管理体系持续有效运行。</w:t>
            </w:r>
          </w:p>
          <w:p>
            <w:pPr>
              <w:rPr>
                <w:rFonts w:hint="eastAsia" w:ascii="宋体" w:hAnsi="宋体"/>
                <w:color w:val="auto"/>
                <w:lang w:val="en-US" w:eastAsia="zh-CN"/>
              </w:rPr>
            </w:pPr>
            <w:r>
              <w:rPr>
                <w:rFonts w:hint="eastAsia" w:ascii="宋体" w:hAnsi="宋体"/>
                <w:color w:val="auto"/>
                <w:lang w:val="en-US" w:eastAsia="zh-CN"/>
              </w:rPr>
              <w:t>在供方业绩、生产过程控制、产品质量的符合性、顾客满意等方面采用统计表或调查表的形式进行数据统计和分析，以证实公司管理体系运行的有效性，以及寻找体系运行过程中存在的薄弱环节，为持续改进管理体系的有效性提供改进依据</w:t>
            </w:r>
          </w:p>
        </w:tc>
        <w:tc>
          <w:tcPr>
            <w:tcW w:w="1585" w:type="dxa"/>
          </w:tcPr>
          <w:p>
            <w:pPr>
              <w:rPr>
                <w:rFonts w:hint="eastAsia"/>
                <w:sz w:val="24"/>
                <w:lang w:val="en-US" w:eastAsia="zh-CN"/>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2160" w:type="dxa"/>
          </w:tcPr>
          <w:p>
            <w:pPr>
              <w:rPr>
                <w:rFonts w:hint="eastAsia" w:ascii="宋体" w:hAnsi="宋体"/>
                <w:color w:val="auto"/>
                <w:lang w:val="en-US" w:eastAsia="zh-CN"/>
              </w:rPr>
            </w:pPr>
            <w:r>
              <w:rPr>
                <w:rFonts w:hint="eastAsia" w:ascii="宋体" w:hAnsi="宋体"/>
                <w:color w:val="auto"/>
                <w:lang w:val="en-US" w:eastAsia="zh-CN"/>
              </w:rPr>
              <w:t>管理评审</w:t>
            </w:r>
          </w:p>
        </w:tc>
        <w:tc>
          <w:tcPr>
            <w:tcW w:w="960" w:type="dxa"/>
          </w:tcPr>
          <w:p>
            <w:pPr>
              <w:rPr>
                <w:rFonts w:hint="eastAsia" w:ascii="宋体" w:hAnsi="宋体"/>
                <w:color w:val="auto"/>
                <w:lang w:val="en-US" w:eastAsia="zh-CN"/>
              </w:rPr>
            </w:pPr>
            <w:r>
              <w:rPr>
                <w:rFonts w:hint="eastAsia" w:ascii="宋体" w:hAnsi="宋体"/>
                <w:color w:val="auto"/>
                <w:lang w:val="en-US" w:eastAsia="zh-CN"/>
              </w:rPr>
              <w:t>Q9.3</w:t>
            </w:r>
          </w:p>
          <w:p>
            <w:pPr>
              <w:rPr>
                <w:rFonts w:hint="eastAsia" w:ascii="宋体" w:hAnsi="宋体"/>
                <w:color w:val="auto"/>
                <w:lang w:val="en-US" w:eastAsia="zh-CN"/>
              </w:rPr>
            </w:pPr>
          </w:p>
        </w:tc>
        <w:tc>
          <w:tcPr>
            <w:tcW w:w="10004" w:type="dxa"/>
          </w:tcPr>
          <w:p>
            <w:pPr>
              <w:rPr>
                <w:rFonts w:hint="eastAsia" w:ascii="宋体" w:hAnsi="宋体"/>
                <w:color w:val="auto"/>
                <w:lang w:val="en-US" w:eastAsia="zh-CN"/>
              </w:rPr>
            </w:pPr>
            <w:r>
              <w:rPr>
                <w:rFonts w:hint="eastAsia" w:ascii="宋体" w:hAnsi="宋体"/>
                <w:color w:val="auto"/>
                <w:lang w:val="en-US" w:eastAsia="zh-CN"/>
              </w:rPr>
              <w:t>编制了&lt;管理评审控制程序&gt;</w:t>
            </w:r>
          </w:p>
          <w:p>
            <w:pPr>
              <w:rPr>
                <w:rFonts w:hint="eastAsia" w:ascii="宋体" w:hAnsi="宋体"/>
                <w:color w:val="auto"/>
                <w:lang w:val="en-US" w:eastAsia="zh-CN"/>
              </w:rPr>
            </w:pPr>
            <w:r>
              <w:rPr>
                <w:rFonts w:hint="eastAsia" w:ascii="宋体" w:hAnsi="宋体"/>
                <w:color w:val="auto"/>
                <w:lang w:val="en-US" w:eastAsia="zh-CN"/>
              </w:rPr>
              <w:t>查:&lt;管理评审计划&gt;</w:t>
            </w:r>
          </w:p>
          <w:p>
            <w:pPr>
              <w:rPr>
                <w:rFonts w:hint="default" w:ascii="宋体" w:hAnsi="宋体"/>
                <w:color w:val="auto"/>
                <w:lang w:val="en-US" w:eastAsia="zh-CN"/>
              </w:rPr>
            </w:pPr>
            <w:r>
              <w:rPr>
                <w:rFonts w:hint="eastAsia" w:ascii="宋体" w:hAnsi="宋体"/>
                <w:color w:val="auto"/>
                <w:lang w:val="en-US" w:eastAsia="zh-CN"/>
              </w:rPr>
              <w:t>经审批:刘建军2020年12月28日</w:t>
            </w:r>
          </w:p>
          <w:p>
            <w:pPr>
              <w:rPr>
                <w:rFonts w:hint="eastAsia" w:ascii="宋体" w:hAnsi="宋体"/>
                <w:color w:val="auto"/>
                <w:lang w:val="en-US" w:eastAsia="zh-CN"/>
              </w:rPr>
            </w:pPr>
            <w:r>
              <w:rPr>
                <w:rFonts w:hint="eastAsia" w:ascii="宋体" w:hAnsi="宋体"/>
                <w:color w:val="auto"/>
                <w:lang w:val="en-US" w:eastAsia="zh-CN"/>
              </w:rPr>
              <w:t>计划2020年12月28日进行一次管理评审活动.</w:t>
            </w:r>
          </w:p>
          <w:p>
            <w:pPr>
              <w:rPr>
                <w:rFonts w:hint="default" w:ascii="宋体" w:hAnsi="宋体"/>
                <w:color w:val="auto"/>
                <w:lang w:val="en-US" w:eastAsia="zh-CN"/>
              </w:rPr>
            </w:pPr>
            <w:r>
              <w:rPr>
                <w:rFonts w:hint="eastAsia" w:ascii="宋体" w:hAnsi="宋体"/>
                <w:color w:val="auto"/>
                <w:lang w:val="en-US" w:eastAsia="zh-CN"/>
              </w:rPr>
              <w:t>主持人:刘建军</w:t>
            </w:r>
          </w:p>
          <w:p>
            <w:pPr>
              <w:rPr>
                <w:rFonts w:hint="eastAsia" w:ascii="宋体" w:hAnsi="宋体"/>
                <w:color w:val="auto"/>
                <w:lang w:val="en-US" w:eastAsia="zh-CN"/>
              </w:rPr>
            </w:pPr>
            <w:r>
              <w:rPr>
                <w:rFonts w:hint="eastAsia" w:ascii="宋体" w:hAnsi="宋体"/>
                <w:color w:val="auto"/>
                <w:lang w:val="en-US" w:eastAsia="zh-CN"/>
              </w:rPr>
              <w:t>参与评审人员:管理者代表汪亮及各部门负责人</w:t>
            </w:r>
          </w:p>
          <w:p>
            <w:pPr>
              <w:rPr>
                <w:rFonts w:hint="eastAsia" w:ascii="宋体" w:hAnsi="宋体"/>
                <w:color w:val="auto"/>
                <w:lang w:val="en-US" w:eastAsia="zh-CN"/>
              </w:rPr>
            </w:pPr>
            <w:r>
              <w:rPr>
                <w:rFonts w:hint="eastAsia" w:ascii="宋体" w:hAnsi="宋体"/>
                <w:color w:val="auto"/>
                <w:lang w:val="en-US" w:eastAsia="zh-CN"/>
              </w:rPr>
              <w:t>评审内容:</w:t>
            </w:r>
          </w:p>
          <w:p>
            <w:pPr>
              <w:rPr>
                <w:rFonts w:hint="eastAsia" w:ascii="宋体" w:hAnsi="宋体"/>
                <w:color w:val="auto"/>
                <w:lang w:val="en-US" w:eastAsia="zh-CN"/>
              </w:rPr>
            </w:pPr>
            <w:r>
              <w:rPr>
                <w:rFonts w:hint="eastAsia" w:ascii="宋体" w:hAnsi="宋体"/>
                <w:color w:val="auto"/>
                <w:lang w:val="en-US" w:eastAsia="zh-CN"/>
              </w:rPr>
              <w:t>1、内部/外部审核情况；</w:t>
            </w:r>
          </w:p>
          <w:p>
            <w:pPr>
              <w:rPr>
                <w:rFonts w:hint="eastAsia" w:ascii="宋体" w:hAnsi="宋体"/>
                <w:color w:val="auto"/>
                <w:lang w:val="en-US" w:eastAsia="zh-CN"/>
              </w:rPr>
            </w:pPr>
            <w:r>
              <w:rPr>
                <w:rFonts w:hint="eastAsia" w:ascii="宋体" w:hAnsi="宋体"/>
                <w:color w:val="auto"/>
                <w:lang w:val="en-US" w:eastAsia="zh-CN"/>
              </w:rPr>
              <w:t>2、质量方针适宜性及质量目标达成情况；</w:t>
            </w:r>
          </w:p>
          <w:p>
            <w:pPr>
              <w:rPr>
                <w:rFonts w:hint="eastAsia" w:ascii="宋体" w:hAnsi="宋体"/>
                <w:color w:val="auto"/>
                <w:lang w:val="en-US" w:eastAsia="zh-CN"/>
              </w:rPr>
            </w:pPr>
            <w:r>
              <w:rPr>
                <w:rFonts w:hint="eastAsia" w:ascii="宋体" w:hAnsi="宋体"/>
                <w:color w:val="auto"/>
                <w:lang w:val="en-US" w:eastAsia="zh-CN"/>
              </w:rPr>
              <w:t>3、顾客投诉及处理、客户满意度调查情况；</w:t>
            </w:r>
          </w:p>
          <w:p>
            <w:pPr>
              <w:rPr>
                <w:rFonts w:hint="eastAsia" w:ascii="宋体" w:hAnsi="宋体"/>
                <w:color w:val="auto"/>
                <w:lang w:val="en-US" w:eastAsia="zh-CN"/>
              </w:rPr>
            </w:pPr>
            <w:r>
              <w:rPr>
                <w:rFonts w:hint="eastAsia" w:ascii="宋体" w:hAnsi="宋体"/>
                <w:color w:val="auto"/>
                <w:lang w:val="en-US" w:eastAsia="zh-CN"/>
              </w:rPr>
              <w:t>4、产品质量状况及过程业绩；</w:t>
            </w:r>
          </w:p>
          <w:p>
            <w:pPr>
              <w:rPr>
                <w:rFonts w:hint="eastAsia" w:ascii="宋体" w:hAnsi="宋体"/>
                <w:color w:val="auto"/>
                <w:lang w:val="en-US" w:eastAsia="zh-CN"/>
              </w:rPr>
            </w:pPr>
            <w:r>
              <w:rPr>
                <w:rFonts w:hint="eastAsia" w:ascii="宋体" w:hAnsi="宋体"/>
                <w:color w:val="auto"/>
                <w:lang w:val="en-US" w:eastAsia="zh-CN"/>
              </w:rPr>
              <w:t>5、预防及纠正措施实施情况及效果性；</w:t>
            </w:r>
          </w:p>
          <w:p>
            <w:pPr>
              <w:rPr>
                <w:rFonts w:hint="eastAsia" w:ascii="宋体" w:hAnsi="宋体"/>
                <w:color w:val="auto"/>
                <w:lang w:val="en-US" w:eastAsia="zh-CN"/>
              </w:rPr>
            </w:pPr>
            <w:r>
              <w:rPr>
                <w:rFonts w:hint="eastAsia" w:ascii="宋体" w:hAnsi="宋体"/>
                <w:color w:val="auto"/>
                <w:lang w:val="en-US" w:eastAsia="zh-CN"/>
              </w:rPr>
              <w:t>6、以往管理评审的跟踪措施；</w:t>
            </w:r>
          </w:p>
          <w:p>
            <w:pPr>
              <w:rPr>
                <w:rFonts w:hint="eastAsia" w:ascii="宋体" w:hAnsi="宋体"/>
                <w:color w:val="auto"/>
                <w:lang w:val="en-US" w:eastAsia="zh-CN"/>
              </w:rPr>
            </w:pPr>
            <w:r>
              <w:rPr>
                <w:rFonts w:hint="eastAsia" w:ascii="宋体" w:hAnsi="宋体"/>
                <w:color w:val="auto"/>
                <w:lang w:val="en-US" w:eastAsia="zh-CN"/>
              </w:rPr>
              <w:t>7、体系的变更及改进的建议等。</w:t>
            </w:r>
          </w:p>
          <w:p>
            <w:pPr>
              <w:rPr>
                <w:rFonts w:hint="eastAsia" w:ascii="宋体" w:hAnsi="宋体"/>
                <w:color w:val="auto"/>
                <w:lang w:val="en-US" w:eastAsia="zh-CN"/>
              </w:rPr>
            </w:pPr>
            <w:r>
              <w:rPr>
                <w:rFonts w:hint="eastAsia" w:ascii="宋体" w:hAnsi="宋体"/>
                <w:color w:val="auto"/>
                <w:lang w:val="en-US" w:eastAsia="zh-CN"/>
              </w:rPr>
              <w:t>8、资源的充分性。</w:t>
            </w:r>
          </w:p>
          <w:p>
            <w:pPr>
              <w:rPr>
                <w:rFonts w:hint="eastAsia" w:ascii="宋体" w:hAnsi="宋体"/>
                <w:color w:val="auto"/>
                <w:lang w:val="en-US" w:eastAsia="zh-CN"/>
              </w:rPr>
            </w:pPr>
            <w:r>
              <w:rPr>
                <w:rFonts w:hint="eastAsia" w:ascii="宋体" w:hAnsi="宋体"/>
                <w:color w:val="auto"/>
                <w:lang w:val="en-US" w:eastAsia="zh-CN"/>
              </w:rPr>
              <w:t>9、风险和机遇措施的有效性。</w:t>
            </w:r>
          </w:p>
          <w:p>
            <w:pPr>
              <w:rPr>
                <w:rFonts w:hint="eastAsia" w:ascii="宋体" w:hAnsi="宋体"/>
                <w:color w:val="auto"/>
                <w:lang w:val="en-US" w:eastAsia="zh-CN"/>
              </w:rPr>
            </w:pPr>
            <w:r>
              <w:rPr>
                <w:rFonts w:hint="eastAsia" w:ascii="宋体" w:hAnsi="宋体"/>
                <w:color w:val="auto"/>
                <w:lang w:val="en-US" w:eastAsia="zh-CN"/>
              </w:rPr>
              <w:t>10、企业内外部环境变化影响。</w:t>
            </w:r>
          </w:p>
          <w:p>
            <w:pPr>
              <w:rPr>
                <w:rFonts w:hint="eastAsia" w:ascii="宋体" w:hAnsi="宋体"/>
                <w:color w:val="auto"/>
                <w:lang w:val="en-US" w:eastAsia="zh-CN"/>
              </w:rPr>
            </w:pPr>
            <w:r>
              <w:rPr>
                <w:rFonts w:hint="eastAsia" w:ascii="宋体" w:hAnsi="宋体"/>
                <w:color w:val="auto"/>
                <w:lang w:val="en-US" w:eastAsia="zh-CN"/>
              </w:rPr>
              <w:t>与会人员听取了以下报告：</w:t>
            </w:r>
          </w:p>
          <w:p>
            <w:pPr>
              <w:rPr>
                <w:rFonts w:hint="eastAsia" w:ascii="宋体" w:hAnsi="宋体"/>
                <w:color w:val="auto"/>
                <w:lang w:val="en-US" w:eastAsia="zh-CN"/>
              </w:rPr>
            </w:pPr>
            <w:r>
              <w:rPr>
                <w:rFonts w:hint="eastAsia" w:ascii="宋体" w:hAnsi="宋体"/>
                <w:color w:val="auto"/>
                <w:lang w:val="en-US" w:eastAsia="zh-CN"/>
              </w:rPr>
              <w:t>2020年度《内审报告》</w:t>
            </w:r>
          </w:p>
          <w:p>
            <w:pPr>
              <w:rPr>
                <w:rFonts w:hint="eastAsia" w:ascii="宋体" w:hAnsi="宋体"/>
                <w:color w:val="auto"/>
                <w:lang w:val="en-US" w:eastAsia="zh-CN"/>
              </w:rPr>
            </w:pPr>
            <w:r>
              <w:rPr>
                <w:rFonts w:hint="eastAsia" w:ascii="宋体" w:hAnsi="宋体"/>
                <w:color w:val="auto"/>
                <w:lang w:val="en-US" w:eastAsia="zh-CN"/>
              </w:rPr>
              <w:t>《质量管理体系运行情况》</w:t>
            </w:r>
          </w:p>
          <w:p>
            <w:pPr>
              <w:rPr>
                <w:rFonts w:hint="eastAsia" w:ascii="宋体" w:hAnsi="宋体"/>
                <w:color w:val="auto"/>
                <w:lang w:val="en-US" w:eastAsia="zh-CN"/>
              </w:rPr>
            </w:pPr>
            <w:r>
              <w:rPr>
                <w:rFonts w:hint="eastAsia" w:ascii="宋体" w:hAnsi="宋体"/>
                <w:color w:val="auto"/>
                <w:lang w:val="en-US" w:eastAsia="zh-CN"/>
              </w:rPr>
              <w:t>《目标完成情况统计分析报告》</w:t>
            </w:r>
          </w:p>
          <w:p>
            <w:pPr>
              <w:rPr>
                <w:rFonts w:hint="eastAsia" w:ascii="宋体" w:hAnsi="宋体"/>
                <w:color w:val="auto"/>
                <w:lang w:val="en-US" w:eastAsia="zh-CN"/>
              </w:rPr>
            </w:pPr>
            <w:r>
              <w:rPr>
                <w:rFonts w:hint="eastAsia" w:ascii="宋体" w:hAnsi="宋体"/>
                <w:color w:val="auto"/>
                <w:lang w:val="en-US" w:eastAsia="zh-CN"/>
              </w:rPr>
              <w:t>《纠正和预防措施实施情况报告》</w:t>
            </w:r>
          </w:p>
          <w:p>
            <w:pPr>
              <w:rPr>
                <w:rFonts w:hint="eastAsia" w:ascii="宋体" w:hAnsi="宋体"/>
                <w:color w:val="auto"/>
                <w:lang w:val="en-US" w:eastAsia="zh-CN"/>
              </w:rPr>
            </w:pPr>
            <w:r>
              <w:rPr>
                <w:rFonts w:hint="eastAsia" w:ascii="宋体" w:hAnsi="宋体"/>
                <w:color w:val="auto"/>
                <w:lang w:val="en-US" w:eastAsia="zh-CN"/>
              </w:rPr>
              <w:t>《过程业绩及产品符合性报告》</w:t>
            </w:r>
          </w:p>
          <w:p>
            <w:pPr>
              <w:rPr>
                <w:rFonts w:hint="eastAsia" w:ascii="宋体" w:hAnsi="宋体"/>
                <w:color w:val="auto"/>
                <w:lang w:val="en-US" w:eastAsia="zh-CN"/>
              </w:rPr>
            </w:pPr>
            <w:r>
              <w:rPr>
                <w:rFonts w:hint="eastAsia" w:ascii="宋体" w:hAnsi="宋体"/>
                <w:color w:val="auto"/>
                <w:lang w:val="en-US" w:eastAsia="zh-CN"/>
              </w:rPr>
              <w:t>《顾客满意率统计分析报告》</w:t>
            </w:r>
          </w:p>
          <w:p>
            <w:pPr>
              <w:rPr>
                <w:rFonts w:hint="eastAsia" w:ascii="宋体" w:hAnsi="宋体"/>
                <w:color w:val="auto"/>
                <w:lang w:val="en-US" w:eastAsia="zh-CN"/>
              </w:rPr>
            </w:pPr>
            <w:r>
              <w:rPr>
                <w:rFonts w:hint="eastAsia" w:ascii="宋体" w:hAnsi="宋体"/>
                <w:color w:val="auto"/>
                <w:lang w:val="en-US" w:eastAsia="zh-CN"/>
              </w:rPr>
              <w:t>《风险和机遇措施的有效性》</w:t>
            </w:r>
          </w:p>
          <w:p>
            <w:pPr>
              <w:rPr>
                <w:rFonts w:hint="eastAsia" w:ascii="宋体" w:hAnsi="宋体"/>
                <w:color w:val="auto"/>
                <w:lang w:val="en-US" w:eastAsia="zh-CN"/>
              </w:rPr>
            </w:pPr>
            <w:r>
              <w:rPr>
                <w:rFonts w:hint="eastAsia" w:ascii="宋体" w:hAnsi="宋体"/>
                <w:color w:val="auto"/>
                <w:lang w:val="en-US" w:eastAsia="zh-CN"/>
              </w:rPr>
              <w:t>《企业内外部环境变化影响》</w:t>
            </w:r>
          </w:p>
          <w:p>
            <w:pPr>
              <w:rPr>
                <w:rFonts w:hint="eastAsia" w:ascii="宋体" w:hAnsi="宋体"/>
                <w:color w:val="auto"/>
                <w:lang w:val="en-US" w:eastAsia="zh-CN"/>
              </w:rPr>
            </w:pPr>
            <w:r>
              <w:rPr>
                <w:rFonts w:hint="eastAsia" w:ascii="宋体" w:hAnsi="宋体"/>
                <w:color w:val="auto"/>
                <w:lang w:val="en-US" w:eastAsia="zh-CN"/>
              </w:rPr>
              <w:t xml:space="preserve">总经理根据以上汇报做了总结性发言，提出了自体系运行以来取得的成绩和存在的不足，并且提出了改进措施。 </w:t>
            </w:r>
          </w:p>
          <w:p>
            <w:pPr>
              <w:rPr>
                <w:rFonts w:hint="eastAsia" w:ascii="宋体" w:hAnsi="宋体"/>
                <w:color w:val="auto"/>
                <w:lang w:val="en-US" w:eastAsia="zh-CN"/>
              </w:rPr>
            </w:pPr>
            <w:r>
              <w:rPr>
                <w:rFonts w:hint="eastAsia" w:ascii="宋体" w:hAnsi="宋体"/>
                <w:color w:val="auto"/>
                <w:lang w:val="en-US" w:eastAsia="zh-CN"/>
              </w:rPr>
              <w:t>由管理者代表负责根据以上内容做好《管理评审报告》。</w:t>
            </w:r>
          </w:p>
          <w:p>
            <w:pPr>
              <w:rPr>
                <w:rFonts w:hint="eastAsia" w:ascii="宋体" w:hAnsi="宋体"/>
                <w:color w:val="auto"/>
                <w:lang w:val="en-US" w:eastAsia="zh-CN"/>
              </w:rPr>
            </w:pPr>
          </w:p>
          <w:p>
            <w:pPr>
              <w:rPr>
                <w:rFonts w:hint="eastAsia" w:ascii="宋体" w:hAnsi="宋体"/>
                <w:color w:val="auto"/>
                <w:lang w:val="en-US" w:eastAsia="zh-CN"/>
              </w:rPr>
            </w:pPr>
            <w:r>
              <w:rPr>
                <w:rFonts w:hint="eastAsia" w:ascii="宋体" w:hAnsi="宋体"/>
                <w:color w:val="auto"/>
                <w:lang w:val="en-US" w:eastAsia="zh-CN"/>
              </w:rPr>
              <w:t>查：《管理评审会议记录》，记录较为简单，符合计划的安排，基本符合标准条款要求。</w:t>
            </w:r>
          </w:p>
          <w:p>
            <w:pPr>
              <w:rPr>
                <w:rFonts w:hint="eastAsia" w:ascii="宋体" w:hAnsi="宋体"/>
                <w:color w:val="auto"/>
                <w:lang w:val="en-US" w:eastAsia="zh-CN"/>
              </w:rPr>
            </w:pPr>
            <w:r>
              <w:rPr>
                <w:rFonts w:hint="eastAsia" w:ascii="宋体" w:hAnsi="宋体"/>
                <w:color w:val="auto"/>
                <w:lang w:val="en-US" w:eastAsia="zh-CN"/>
              </w:rPr>
              <w:t>查见：管理评审会议记录及有各部门的管理体系总结报告；</w:t>
            </w:r>
          </w:p>
          <w:p>
            <w:pPr>
              <w:rPr>
                <w:rFonts w:hint="default" w:ascii="宋体" w:hAnsi="宋体"/>
                <w:color w:val="auto"/>
                <w:lang w:val="en-US" w:eastAsia="zh-CN"/>
              </w:rPr>
            </w:pPr>
            <w:r>
              <w:rPr>
                <w:rFonts w:hint="eastAsia" w:ascii="宋体" w:hAnsi="宋体"/>
                <w:color w:val="auto"/>
                <w:lang w:val="en-US" w:eastAsia="zh-CN"/>
              </w:rPr>
              <w:t>查见：《管理评审报告》，刘建军2020年12月28日</w:t>
            </w:r>
          </w:p>
          <w:p>
            <w:pPr>
              <w:rPr>
                <w:rFonts w:hint="eastAsia" w:ascii="宋体" w:hAnsi="宋体"/>
                <w:color w:val="auto"/>
                <w:lang w:val="en-US" w:eastAsia="zh-CN"/>
              </w:rPr>
            </w:pPr>
            <w:r>
              <w:rPr>
                <w:rFonts w:hint="eastAsia" w:ascii="宋体" w:hAnsi="宋体"/>
                <w:color w:val="auto"/>
                <w:lang w:val="en-US" w:eastAsia="zh-CN"/>
              </w:rPr>
              <w:t>管评结论：</w:t>
            </w:r>
          </w:p>
          <w:p>
            <w:pPr>
              <w:rPr>
                <w:rFonts w:hint="eastAsia" w:ascii="宋体" w:hAnsi="宋体"/>
                <w:color w:val="auto"/>
                <w:lang w:val="en-US" w:eastAsia="zh-CN"/>
              </w:rPr>
            </w:pPr>
            <w:r>
              <w:rPr>
                <w:rFonts w:hint="eastAsia" w:ascii="宋体" w:hAnsi="宋体"/>
                <w:color w:val="auto"/>
                <w:lang w:val="en-US" w:eastAsia="zh-CN"/>
              </w:rPr>
              <w:t>经评审，与会人员一致认为本公司制定的质量方针、目标、指标和建立实施的质量管理体系基本符合标准的要求，符合企业的实际情况，质量管理工作得到了改善，能够保证本公司适用的质量法律法规得到了遵守，公司的生产质量的控制能力得到了提高，本公司的质量方针、目标和管理体系目前仍是适宜、充分和有效的。</w:t>
            </w:r>
          </w:p>
          <w:p>
            <w:pPr>
              <w:rPr>
                <w:rFonts w:hint="eastAsia" w:ascii="宋体" w:hAnsi="宋体"/>
                <w:color w:val="auto"/>
                <w:lang w:val="en-US" w:eastAsia="zh-CN"/>
              </w:rPr>
            </w:pPr>
            <w:r>
              <w:rPr>
                <w:rFonts w:hint="eastAsia" w:ascii="宋体" w:hAnsi="宋体"/>
                <w:color w:val="auto"/>
                <w:lang w:val="en-US" w:eastAsia="zh-CN"/>
              </w:rPr>
              <w:t>查管理评审持续改进计划：</w:t>
            </w:r>
          </w:p>
          <w:p>
            <w:pPr>
              <w:rPr>
                <w:rFonts w:hint="eastAsia" w:ascii="宋体" w:hAnsi="宋体"/>
                <w:color w:val="auto"/>
                <w:lang w:val="en-US" w:eastAsia="zh-CN"/>
              </w:rPr>
            </w:pPr>
            <w:r>
              <w:rPr>
                <w:rFonts w:hint="eastAsia" w:ascii="宋体" w:hAnsi="宋体"/>
                <w:color w:val="auto"/>
                <w:lang w:val="en-US" w:eastAsia="zh-CN"/>
              </w:rPr>
              <w:t>本次评审没有提出体系的变更。</w:t>
            </w:r>
          </w:p>
          <w:p>
            <w:pPr>
              <w:rPr>
                <w:rFonts w:hint="eastAsia" w:ascii="宋体" w:hAnsi="宋体"/>
                <w:color w:val="auto"/>
                <w:lang w:val="en-US" w:eastAsia="zh-CN"/>
              </w:rPr>
            </w:pPr>
            <w:r>
              <w:rPr>
                <w:rFonts w:hint="eastAsia" w:ascii="宋体" w:hAnsi="宋体"/>
                <w:color w:val="auto"/>
                <w:lang w:val="en-US" w:eastAsia="zh-CN"/>
              </w:rPr>
              <w:t xml:space="preserve">    通过本次评审，最终得出本公司管理体系是适宜的、充分的、有效的，方针和目标是适宜的和有效的。</w:t>
            </w:r>
          </w:p>
          <w:p>
            <w:pPr>
              <w:rPr>
                <w:rFonts w:hint="eastAsia" w:ascii="宋体" w:hAnsi="宋体"/>
                <w:color w:val="auto"/>
                <w:lang w:val="en-US" w:eastAsia="zh-CN"/>
              </w:rPr>
            </w:pPr>
            <w:r>
              <w:rPr>
                <w:rFonts w:hint="eastAsia" w:ascii="宋体" w:hAnsi="宋体"/>
                <w:color w:val="auto"/>
                <w:lang w:val="en-US" w:eastAsia="zh-CN"/>
              </w:rPr>
              <w:t>但为了更好的运行体系，特提出以下要求：</w:t>
            </w:r>
          </w:p>
          <w:p>
            <w:pPr>
              <w:rPr>
                <w:rFonts w:hint="eastAsia" w:ascii="宋体" w:hAnsi="宋体"/>
                <w:color w:val="auto"/>
                <w:lang w:val="en-US" w:eastAsia="zh-CN"/>
              </w:rPr>
            </w:pPr>
            <w:r>
              <w:rPr>
                <w:rFonts w:hint="eastAsia" w:ascii="宋体" w:hAnsi="宋体"/>
                <w:color w:val="auto"/>
                <w:lang w:val="en-US" w:eastAsia="zh-CN"/>
              </w:rPr>
              <w:t>对标准、手册、程序文件进一步组织学习。</w:t>
            </w:r>
          </w:p>
          <w:p>
            <w:pPr>
              <w:rPr>
                <w:rFonts w:hint="eastAsia" w:ascii="宋体" w:hAnsi="宋体"/>
                <w:color w:val="auto"/>
                <w:lang w:val="en-US" w:eastAsia="zh-CN"/>
              </w:rPr>
            </w:pPr>
            <w:r>
              <w:rPr>
                <w:rFonts w:hint="eastAsia" w:ascii="宋体" w:hAnsi="宋体"/>
                <w:color w:val="auto"/>
                <w:lang w:val="en-US" w:eastAsia="zh-CN"/>
              </w:rPr>
              <w:t>加强生产车间5S现场管理</w:t>
            </w:r>
          </w:p>
          <w:p>
            <w:pPr>
              <w:rPr>
                <w:rFonts w:hint="eastAsia" w:ascii="宋体" w:hAnsi="宋体"/>
                <w:color w:val="auto"/>
                <w:lang w:val="en-US" w:eastAsia="zh-CN"/>
              </w:rPr>
            </w:pPr>
            <w:r>
              <w:rPr>
                <w:rFonts w:hint="eastAsia" w:ascii="宋体" w:hAnsi="宋体"/>
                <w:color w:val="auto"/>
                <w:lang w:val="en-US" w:eastAsia="zh-CN"/>
              </w:rPr>
              <w:t>由综合部组织在2021年9月底前完成</w:t>
            </w:r>
          </w:p>
          <w:p>
            <w:pPr>
              <w:rPr>
                <w:rFonts w:hint="eastAsia" w:ascii="宋体" w:hAnsi="宋体"/>
                <w:color w:val="auto"/>
                <w:lang w:val="en-US" w:eastAsia="zh-CN"/>
              </w:rPr>
            </w:pPr>
          </w:p>
        </w:tc>
        <w:tc>
          <w:tcPr>
            <w:tcW w:w="1585" w:type="dxa"/>
          </w:tcPr>
          <w:p>
            <w:pPr>
              <w:rPr>
                <w:sz w:val="24"/>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160" w:type="dxa"/>
          </w:tcPr>
          <w:p>
            <w:pPr>
              <w:rPr>
                <w:rFonts w:hint="default" w:ascii="宋体" w:hAnsi="宋体"/>
                <w:color w:val="auto"/>
                <w:lang w:val="en-US" w:eastAsia="zh-CN"/>
              </w:rPr>
            </w:pPr>
            <w:r>
              <w:rPr>
                <w:rFonts w:hint="eastAsia" w:ascii="宋体" w:hAnsi="宋体"/>
                <w:color w:val="auto"/>
                <w:lang w:val="en-US" w:eastAsia="zh-CN"/>
              </w:rPr>
              <w:t>改进</w:t>
            </w:r>
          </w:p>
        </w:tc>
        <w:tc>
          <w:tcPr>
            <w:tcW w:w="960" w:type="dxa"/>
          </w:tcPr>
          <w:p>
            <w:pPr>
              <w:rPr>
                <w:rFonts w:hint="eastAsia" w:ascii="宋体" w:hAnsi="宋体"/>
                <w:color w:val="auto"/>
                <w:lang w:val="en-US" w:eastAsia="zh-CN"/>
              </w:rPr>
            </w:pPr>
            <w:r>
              <w:rPr>
                <w:rFonts w:hint="eastAsia" w:ascii="宋体" w:hAnsi="宋体"/>
                <w:color w:val="auto"/>
                <w:lang w:val="en-US" w:eastAsia="zh-CN"/>
              </w:rPr>
              <w:t>Q10.1</w:t>
            </w:r>
          </w:p>
          <w:p>
            <w:pPr>
              <w:rPr>
                <w:rFonts w:hint="default" w:ascii="宋体" w:hAnsi="宋体"/>
                <w:color w:val="auto"/>
                <w:lang w:val="en-US" w:eastAsia="zh-CN"/>
              </w:rPr>
            </w:pPr>
            <w:r>
              <w:rPr>
                <w:rFonts w:hint="eastAsia" w:ascii="宋体" w:hAnsi="宋体"/>
                <w:color w:val="auto"/>
                <w:lang w:val="en-US" w:eastAsia="zh-CN"/>
              </w:rPr>
              <w:t>Q10.3</w:t>
            </w:r>
          </w:p>
        </w:tc>
        <w:tc>
          <w:tcPr>
            <w:tcW w:w="10004" w:type="dxa"/>
          </w:tcPr>
          <w:p>
            <w:pPr>
              <w:rPr>
                <w:rFonts w:hint="eastAsia" w:ascii="宋体" w:hAnsi="宋体"/>
                <w:color w:val="auto"/>
                <w:lang w:val="en-US" w:eastAsia="zh-CN"/>
              </w:rPr>
            </w:pPr>
            <w:r>
              <w:rPr>
                <w:rFonts w:hint="eastAsia" w:ascii="宋体" w:hAnsi="宋体"/>
                <w:color w:val="auto"/>
                <w:lang w:val="en-US" w:eastAsia="zh-CN"/>
              </w:rPr>
              <w:t>主要通过内审和管理评审活动的开展,查找公司管理体系运行过程中存在的薄弱环节,制定纠正和预防措施,以实现持续改进管理体系运行的有效性.详见综合部相关审核记录.</w:t>
            </w:r>
          </w:p>
        </w:tc>
        <w:tc>
          <w:tcPr>
            <w:tcW w:w="1585" w:type="dxa"/>
          </w:tcPr>
          <w:p>
            <w:pPr>
              <w:rPr>
                <w:rFonts w:hint="default" w:ascii="宋体" w:hAnsi="宋体"/>
                <w:color w:val="auto"/>
                <w:lang w:val="en-US" w:eastAsia="zh-CN"/>
              </w:rPr>
            </w:pPr>
            <w:r>
              <w:rPr>
                <w:rFonts w:hint="eastAsia" w:ascii="宋体" w:hAnsi="宋体"/>
                <w:color w:val="auto"/>
                <w:lang w:val="en-US" w:eastAsia="zh-CN"/>
              </w:rPr>
              <w:t>符合</w:t>
            </w:r>
          </w:p>
        </w:tc>
      </w:tr>
    </w:tbl>
    <w:p>
      <w:pPr>
        <w:rPr>
          <w:sz w:val="24"/>
        </w:rPr>
      </w:pPr>
      <w:r>
        <w:rPr>
          <w:sz w:val="24"/>
        </w:rPr>
        <w:ptab w:relativeTo="margin" w:alignment="center" w:leader="none"/>
      </w:r>
    </w:p>
    <w:p>
      <w:pPr>
        <w:pStyle w:val="3"/>
        <w:rPr>
          <w:sz w:val="24"/>
          <w:szCs w:val="24"/>
        </w:rPr>
      </w:pPr>
      <w:r>
        <w:rPr>
          <w:rFonts w:hint="eastAsia"/>
          <w:sz w:val="24"/>
          <w:szCs w:val="24"/>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1"/>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62E46"/>
    <w:rsid w:val="00086192"/>
    <w:rsid w:val="000E6B21"/>
    <w:rsid w:val="000F0739"/>
    <w:rsid w:val="00110D78"/>
    <w:rsid w:val="00134769"/>
    <w:rsid w:val="0014219D"/>
    <w:rsid w:val="00145390"/>
    <w:rsid w:val="001A2D7F"/>
    <w:rsid w:val="001C064E"/>
    <w:rsid w:val="00213048"/>
    <w:rsid w:val="00216FAE"/>
    <w:rsid w:val="00241429"/>
    <w:rsid w:val="00275841"/>
    <w:rsid w:val="002939AD"/>
    <w:rsid w:val="002D658A"/>
    <w:rsid w:val="00314AF6"/>
    <w:rsid w:val="003264E6"/>
    <w:rsid w:val="00332648"/>
    <w:rsid w:val="00337922"/>
    <w:rsid w:val="00340867"/>
    <w:rsid w:val="003419A0"/>
    <w:rsid w:val="00380837"/>
    <w:rsid w:val="003A198A"/>
    <w:rsid w:val="003F62FC"/>
    <w:rsid w:val="00410914"/>
    <w:rsid w:val="004372CC"/>
    <w:rsid w:val="004A5B51"/>
    <w:rsid w:val="004A7746"/>
    <w:rsid w:val="004F580A"/>
    <w:rsid w:val="00522E08"/>
    <w:rsid w:val="00536930"/>
    <w:rsid w:val="00547011"/>
    <w:rsid w:val="005612C3"/>
    <w:rsid w:val="00564E53"/>
    <w:rsid w:val="005A7A5B"/>
    <w:rsid w:val="005B6089"/>
    <w:rsid w:val="005C1F70"/>
    <w:rsid w:val="005D5659"/>
    <w:rsid w:val="00600C20"/>
    <w:rsid w:val="00610808"/>
    <w:rsid w:val="00644FE2"/>
    <w:rsid w:val="0067640C"/>
    <w:rsid w:val="006E678B"/>
    <w:rsid w:val="006F23CB"/>
    <w:rsid w:val="0073408C"/>
    <w:rsid w:val="00736774"/>
    <w:rsid w:val="007757F3"/>
    <w:rsid w:val="007966C2"/>
    <w:rsid w:val="007C1B48"/>
    <w:rsid w:val="007E6AEB"/>
    <w:rsid w:val="00810E34"/>
    <w:rsid w:val="008970E9"/>
    <w:rsid w:val="008973EE"/>
    <w:rsid w:val="00897C3D"/>
    <w:rsid w:val="008B42A7"/>
    <w:rsid w:val="008C32D0"/>
    <w:rsid w:val="008D426A"/>
    <w:rsid w:val="009077E2"/>
    <w:rsid w:val="00932836"/>
    <w:rsid w:val="009610A6"/>
    <w:rsid w:val="00971600"/>
    <w:rsid w:val="00974EC4"/>
    <w:rsid w:val="009973B4"/>
    <w:rsid w:val="009C28C1"/>
    <w:rsid w:val="009F7EED"/>
    <w:rsid w:val="00A63327"/>
    <w:rsid w:val="00A80636"/>
    <w:rsid w:val="00AA1242"/>
    <w:rsid w:val="00AF0AAB"/>
    <w:rsid w:val="00B07A39"/>
    <w:rsid w:val="00B40E22"/>
    <w:rsid w:val="00B867D6"/>
    <w:rsid w:val="00BC355D"/>
    <w:rsid w:val="00BC3814"/>
    <w:rsid w:val="00BF597E"/>
    <w:rsid w:val="00C10626"/>
    <w:rsid w:val="00C27328"/>
    <w:rsid w:val="00C448DC"/>
    <w:rsid w:val="00C5030D"/>
    <w:rsid w:val="00C51A36"/>
    <w:rsid w:val="00C55228"/>
    <w:rsid w:val="00C63768"/>
    <w:rsid w:val="00C805F8"/>
    <w:rsid w:val="00CE315A"/>
    <w:rsid w:val="00D06F59"/>
    <w:rsid w:val="00D64638"/>
    <w:rsid w:val="00D8388C"/>
    <w:rsid w:val="00DC4FDD"/>
    <w:rsid w:val="00DD5226"/>
    <w:rsid w:val="00E41E00"/>
    <w:rsid w:val="00E6224C"/>
    <w:rsid w:val="00EB0164"/>
    <w:rsid w:val="00EB3181"/>
    <w:rsid w:val="00ED0F62"/>
    <w:rsid w:val="00ED3274"/>
    <w:rsid w:val="00F02AA1"/>
    <w:rsid w:val="00F5570C"/>
    <w:rsid w:val="00FA06E0"/>
    <w:rsid w:val="00FA4D8D"/>
    <w:rsid w:val="00FE13B9"/>
    <w:rsid w:val="029D0F9F"/>
    <w:rsid w:val="04A316E9"/>
    <w:rsid w:val="09897EDC"/>
    <w:rsid w:val="0A814C8F"/>
    <w:rsid w:val="0AAD57F6"/>
    <w:rsid w:val="0C603C8F"/>
    <w:rsid w:val="108219C2"/>
    <w:rsid w:val="1479558F"/>
    <w:rsid w:val="20B61E59"/>
    <w:rsid w:val="21202F61"/>
    <w:rsid w:val="25627536"/>
    <w:rsid w:val="281F4883"/>
    <w:rsid w:val="2E7E5472"/>
    <w:rsid w:val="32445C4D"/>
    <w:rsid w:val="39234C0D"/>
    <w:rsid w:val="39FF5483"/>
    <w:rsid w:val="3A877FB2"/>
    <w:rsid w:val="3B9F41B7"/>
    <w:rsid w:val="3C542775"/>
    <w:rsid w:val="3D423A1B"/>
    <w:rsid w:val="3F425528"/>
    <w:rsid w:val="45361A48"/>
    <w:rsid w:val="48266871"/>
    <w:rsid w:val="487C2BF9"/>
    <w:rsid w:val="4C3C6983"/>
    <w:rsid w:val="4DBF73E1"/>
    <w:rsid w:val="529A3C0A"/>
    <w:rsid w:val="5549497E"/>
    <w:rsid w:val="55987003"/>
    <w:rsid w:val="5DA62B31"/>
    <w:rsid w:val="5EA12B9A"/>
    <w:rsid w:val="5FEB3E7C"/>
    <w:rsid w:val="60013AEF"/>
    <w:rsid w:val="672B1FDE"/>
    <w:rsid w:val="6EFE43E4"/>
    <w:rsid w:val="6F8E37C4"/>
    <w:rsid w:val="70ED508D"/>
    <w:rsid w:val="71D618CF"/>
    <w:rsid w:val="74526611"/>
    <w:rsid w:val="757D7F2E"/>
    <w:rsid w:val="77070AE5"/>
    <w:rsid w:val="799D6057"/>
    <w:rsid w:val="7C4F722B"/>
    <w:rsid w:val="7CA4370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qFormat/>
    <w:uiPriority w:val="0"/>
    <w:pPr>
      <w:spacing w:before="240" w:after="60"/>
      <w:jc w:val="center"/>
      <w:outlineLvl w:val="0"/>
    </w:pPr>
    <w:rPr>
      <w:rFonts w:ascii="Calibri Light" w:hAnsi="Calibri Light"/>
      <w:b/>
      <w:bCs/>
      <w:sz w:val="32"/>
      <w:szCs w:val="32"/>
    </w:rPr>
  </w:style>
  <w:style w:type="character" w:customStyle="1" w:styleId="8">
    <w:name w:val="页眉 字符"/>
    <w:basedOn w:val="7"/>
    <w:link w:val="4"/>
    <w:qFormat/>
    <w:uiPriority w:val="99"/>
    <w:rPr>
      <w:rFonts w:ascii="Times New Roman" w:hAnsi="Times New Roman" w:eastAsia="宋体" w:cs="Times New Roman"/>
      <w:sz w:val="18"/>
      <w:szCs w:val="18"/>
    </w:rPr>
  </w:style>
  <w:style w:type="character" w:customStyle="1" w:styleId="9">
    <w:name w:val="页脚 字符"/>
    <w:basedOn w:val="7"/>
    <w:link w:val="3"/>
    <w:qFormat/>
    <w:uiPriority w:val="99"/>
    <w:rPr>
      <w:rFonts w:ascii="Times New Roman" w:hAnsi="Times New Roman" w:eastAsia="宋体" w:cs="Times New Roman"/>
      <w:sz w:val="18"/>
      <w:szCs w:val="18"/>
    </w:rPr>
  </w:style>
  <w:style w:type="character" w:customStyle="1" w:styleId="10">
    <w:name w:val="批注框文本 字符"/>
    <w:basedOn w:val="7"/>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No Spacing"/>
    <w:qFormat/>
    <w:uiPriority w:val="0"/>
    <w:pPr>
      <w:widowControl w:val="0"/>
      <w:adjustRightInd w:val="0"/>
      <w:jc w:val="both"/>
      <w:textAlignment w:val="baseline"/>
    </w:pPr>
    <w:rPr>
      <w:rFonts w:ascii="Times New Roman" w:hAnsi="Times New Roman" w:eastAsia="宋体" w:cs="Times New Roman"/>
      <w:kern w:val="2"/>
      <w:sz w:val="21"/>
      <w:szCs w:val="24"/>
      <w:lang w:val="en-US" w:eastAsia="zh-CN" w:bidi="ar-SA"/>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470</Words>
  <Characters>2684</Characters>
  <Lines>22</Lines>
  <Paragraphs>6</Paragraphs>
  <TotalTime>1</TotalTime>
  <ScaleCrop>false</ScaleCrop>
  <LinksUpToDate>false</LinksUpToDate>
  <CharactersWithSpaces>3148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2021-06-28T08:48:57Z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2655F46F6BA2479CB34945BDEF12B983</vt:lpwstr>
  </property>
</Properties>
</file>