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受审核部门：</w:t>
            </w:r>
            <w:r>
              <w:rPr>
                <w:rFonts w:hint="eastAsia"/>
                <w:sz w:val="24"/>
                <w:lang w:val="en-US" w:eastAsia="zh-CN"/>
              </w:rPr>
              <w:t>领导层</w:t>
            </w:r>
            <w:r>
              <w:rPr>
                <w:sz w:val="24"/>
              </w:rPr>
              <w:t xml:space="preserve">         </w:t>
            </w:r>
            <w:r>
              <w:rPr>
                <w:sz w:val="24"/>
                <w:szCs w:val="24"/>
              </w:rPr>
              <w:t xml:space="preserve">  </w:t>
            </w:r>
            <w:r>
              <w:rPr>
                <w:rFonts w:hint="eastAsia"/>
                <w:sz w:val="24"/>
                <w:szCs w:val="24"/>
              </w:rPr>
              <w:t>主管领导：王浩</w:t>
            </w:r>
            <w:r>
              <w:rPr>
                <w:sz w:val="24"/>
                <w:szCs w:val="24"/>
              </w:rPr>
              <w:t xml:space="preserve">        </w:t>
            </w:r>
            <w:r>
              <w:rPr>
                <w:rFonts w:hint="eastAsia"/>
                <w:sz w:val="24"/>
                <w:szCs w:val="24"/>
              </w:rPr>
              <w:t>陪同人员：毕仕春</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rPr>
              <w:t>审</w:t>
            </w:r>
            <w:r>
              <w:rPr>
                <w:rFonts w:hint="eastAsia"/>
                <w:sz w:val="24"/>
                <w:lang w:val="en-US" w:eastAsia="zh-CN"/>
              </w:rPr>
              <w:t xml:space="preserve">  </w:t>
            </w:r>
            <w:r>
              <w:rPr>
                <w:rFonts w:hint="eastAsia"/>
                <w:sz w:val="24"/>
              </w:rPr>
              <w:t>核</w:t>
            </w:r>
            <w:r>
              <w:rPr>
                <w:rFonts w:hint="eastAsia"/>
                <w:sz w:val="24"/>
                <w:lang w:val="en-US" w:eastAsia="zh-CN"/>
              </w:rPr>
              <w:t xml:space="preserve">  </w:t>
            </w:r>
            <w:r>
              <w:rPr>
                <w:rFonts w:hint="eastAsia"/>
                <w:sz w:val="24"/>
              </w:rPr>
              <w:t>员：</w:t>
            </w:r>
            <w:r>
              <w:rPr>
                <w:rFonts w:hint="eastAsia"/>
                <w:sz w:val="24"/>
                <w:lang w:val="en-US" w:eastAsia="zh-CN"/>
              </w:rPr>
              <w:t xml:space="preserve">   张磊</w:t>
            </w:r>
            <w:r>
              <w:rPr>
                <w:rFonts w:hint="eastAsia"/>
                <w:sz w:val="24"/>
              </w:rPr>
              <w:t xml:space="preserve"> </w:t>
            </w:r>
            <w:r>
              <w:rPr>
                <w:sz w:val="24"/>
              </w:rPr>
              <w:t xml:space="preserve">                </w:t>
            </w:r>
            <w:r>
              <w:rPr>
                <w:rFonts w:hint="eastAsia"/>
                <w:sz w:val="24"/>
              </w:rPr>
              <w:t>审核时间：</w:t>
            </w:r>
            <w:r>
              <w:rPr>
                <w:rFonts w:hint="eastAsia"/>
                <w:color w:val="FF0000"/>
                <w:sz w:val="24"/>
              </w:rPr>
              <w:t>20</w:t>
            </w:r>
            <w:r>
              <w:rPr>
                <w:rFonts w:hint="eastAsia"/>
                <w:color w:val="FF0000"/>
                <w:sz w:val="24"/>
                <w:lang w:val="en-US" w:eastAsia="zh-CN"/>
              </w:rPr>
              <w:t>21</w:t>
            </w:r>
            <w:r>
              <w:rPr>
                <w:rFonts w:hint="eastAsia"/>
                <w:color w:val="FF0000"/>
                <w:sz w:val="24"/>
              </w:rPr>
              <w:t>年</w:t>
            </w:r>
            <w:r>
              <w:rPr>
                <w:rFonts w:hint="eastAsia"/>
                <w:color w:val="FF0000"/>
                <w:sz w:val="24"/>
                <w:lang w:val="en-US" w:eastAsia="zh-CN"/>
              </w:rPr>
              <w:t>6</w:t>
            </w:r>
            <w:r>
              <w:rPr>
                <w:rFonts w:hint="eastAsia"/>
                <w:color w:val="FF0000"/>
                <w:sz w:val="24"/>
              </w:rPr>
              <w:t>月</w:t>
            </w:r>
            <w:r>
              <w:rPr>
                <w:rFonts w:hint="eastAsia"/>
                <w:color w:val="FF0000"/>
                <w:sz w:val="24"/>
                <w:lang w:val="en-US" w:eastAsia="zh-CN"/>
              </w:rPr>
              <w:t>24</w:t>
            </w:r>
            <w:r>
              <w:rPr>
                <w:rFonts w:hint="eastAsia"/>
                <w:color w:val="FF0000"/>
                <w:sz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hint="default" w:eastAsia="宋体" w:cs="Arial"/>
                <w:bCs/>
                <w:szCs w:val="21"/>
                <w:lang w:val="en-US" w:eastAsia="zh-CN"/>
              </w:rPr>
            </w:pPr>
            <w:r>
              <w:rPr>
                <w:rFonts w:hint="eastAsia" w:ascii="宋体" w:hAnsi="宋体" w:cs="Arial"/>
                <w:bCs/>
                <w:sz w:val="24"/>
              </w:rPr>
              <w:t>QMS：</w:t>
            </w:r>
            <w:r>
              <w:rPr>
                <w:rFonts w:hint="eastAsia" w:ascii="宋体" w:hAnsi="宋体" w:cs="Arial"/>
                <w:bCs/>
                <w:sz w:val="24"/>
                <w:lang w:val="en-US" w:eastAsia="zh-CN"/>
              </w:rPr>
              <w:t>4</w:t>
            </w:r>
            <w:r>
              <w:rPr>
                <w:rFonts w:hint="eastAsia" w:ascii="宋体" w:hAnsi="宋体" w:cs="Arial"/>
                <w:bCs/>
                <w:sz w:val="24"/>
              </w:rPr>
              <w:t>、</w:t>
            </w:r>
            <w:r>
              <w:rPr>
                <w:rFonts w:hint="eastAsia" w:ascii="宋体" w:hAnsi="宋体" w:cs="Arial"/>
                <w:bCs/>
                <w:sz w:val="24"/>
                <w:lang w:val="en-US" w:eastAsia="zh-CN"/>
              </w:rPr>
              <w:t>5、</w:t>
            </w:r>
            <w:r>
              <w:rPr>
                <w:rFonts w:hint="eastAsia" w:ascii="宋体" w:hAnsi="宋体" w:cs="Arial"/>
                <w:bCs/>
                <w:sz w:val="24"/>
              </w:rPr>
              <w:t>6、</w:t>
            </w:r>
            <w:r>
              <w:rPr>
                <w:rFonts w:hint="eastAsia" w:ascii="宋体" w:hAnsi="宋体" w:cs="Arial"/>
                <w:bCs/>
                <w:sz w:val="24"/>
                <w:lang w:val="en-US" w:eastAsia="zh-CN"/>
              </w:rPr>
              <w:t>7.1.1、</w:t>
            </w:r>
            <w:r>
              <w:rPr>
                <w:rFonts w:hint="eastAsia" w:ascii="宋体" w:hAnsi="宋体" w:cs="Arial"/>
                <w:bCs/>
                <w:sz w:val="24"/>
              </w:rPr>
              <w:t>7.4、7.</w:t>
            </w:r>
            <w:r>
              <w:rPr>
                <w:rFonts w:hint="eastAsia" w:ascii="宋体" w:hAnsi="宋体" w:cs="Arial"/>
                <w:bCs/>
                <w:sz w:val="24"/>
                <w:lang w:val="en-US" w:eastAsia="zh-CN"/>
              </w:rPr>
              <w:t>5</w:t>
            </w:r>
            <w:r>
              <w:rPr>
                <w:rFonts w:hint="eastAsia" w:ascii="宋体" w:hAnsi="宋体" w:cs="Arial"/>
                <w:bCs/>
                <w:sz w:val="24"/>
              </w:rPr>
              <w:t>.</w:t>
            </w:r>
            <w:r>
              <w:rPr>
                <w:rFonts w:hint="eastAsia" w:ascii="宋体" w:hAnsi="宋体" w:cs="Arial"/>
                <w:bCs/>
                <w:sz w:val="24"/>
                <w:lang w:val="en-US" w:eastAsia="zh-CN"/>
              </w:rPr>
              <w:t>1</w:t>
            </w:r>
            <w:r>
              <w:rPr>
                <w:rFonts w:hint="eastAsia" w:ascii="宋体" w:hAnsi="宋体" w:cs="Arial"/>
                <w:bCs/>
                <w:sz w:val="24"/>
              </w:rPr>
              <w:t>、</w:t>
            </w:r>
            <w:r>
              <w:rPr>
                <w:rFonts w:hint="eastAsia" w:ascii="宋体" w:hAnsi="宋体" w:cs="Arial"/>
                <w:bCs/>
                <w:sz w:val="24"/>
                <w:lang w:val="en-US" w:eastAsia="zh-CN"/>
              </w:rPr>
              <w:t>8.3</w:t>
            </w:r>
            <w:r>
              <w:rPr>
                <w:rFonts w:hint="eastAsia" w:ascii="宋体" w:hAnsi="宋体" w:cs="Arial"/>
                <w:bCs/>
                <w:sz w:val="24"/>
              </w:rPr>
              <w:t>、</w:t>
            </w:r>
            <w:r>
              <w:rPr>
                <w:rFonts w:hint="eastAsia" w:ascii="宋体" w:hAnsi="宋体" w:cs="Arial"/>
                <w:bCs/>
                <w:sz w:val="24"/>
                <w:lang w:val="en-US" w:eastAsia="zh-CN"/>
              </w:rPr>
              <w:t>9.1.1</w:t>
            </w:r>
            <w:r>
              <w:rPr>
                <w:rFonts w:hint="eastAsia" w:ascii="宋体" w:hAnsi="宋体" w:cs="Arial"/>
                <w:bCs/>
                <w:sz w:val="24"/>
              </w:rPr>
              <w:t>、</w:t>
            </w:r>
            <w:r>
              <w:rPr>
                <w:rFonts w:hint="eastAsia" w:ascii="宋体" w:hAnsi="宋体" w:cs="Arial"/>
                <w:bCs/>
                <w:sz w:val="24"/>
                <w:lang w:val="en-US" w:eastAsia="zh-CN"/>
              </w:rPr>
              <w:t>9.1</w:t>
            </w:r>
            <w:r>
              <w:rPr>
                <w:rFonts w:hint="eastAsia" w:ascii="宋体" w:hAnsi="宋体" w:cs="Arial"/>
                <w:bCs/>
                <w:sz w:val="24"/>
              </w:rPr>
              <w:t>.3、</w:t>
            </w:r>
            <w:r>
              <w:rPr>
                <w:rFonts w:hint="eastAsia" w:ascii="宋体" w:hAnsi="宋体" w:cs="Arial"/>
                <w:bCs/>
                <w:sz w:val="24"/>
                <w:lang w:val="en-US" w:eastAsia="zh-CN"/>
              </w:rPr>
              <w:t>9.3</w:t>
            </w:r>
            <w:r>
              <w:rPr>
                <w:rFonts w:hint="eastAsia" w:ascii="宋体" w:hAnsi="宋体" w:cs="Arial"/>
                <w:bCs/>
                <w:sz w:val="24"/>
              </w:rPr>
              <w:t>、</w:t>
            </w:r>
            <w:r>
              <w:rPr>
                <w:rFonts w:hint="eastAsia" w:ascii="宋体" w:hAnsi="宋体" w:cs="Arial"/>
                <w:bCs/>
                <w:sz w:val="24"/>
                <w:lang w:val="en-US" w:eastAsia="zh-CN"/>
              </w:rPr>
              <w:t>10.1、10.3</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rFonts w:hint="eastAsia"/>
                <w:sz w:val="24"/>
                <w:lang w:val="en-US" w:eastAsia="zh-CN"/>
              </w:rPr>
            </w:pPr>
            <w:r>
              <w:rPr>
                <w:szCs w:val="21"/>
              </w:rPr>
              <w:t>企业</w:t>
            </w:r>
            <w:r>
              <w:rPr>
                <w:szCs w:val="21"/>
                <w:highlight w:val="none"/>
              </w:rPr>
              <w:t>基本信息（成立日期、位置、资质、认证范围、证书使用情况</w:t>
            </w:r>
            <w:r>
              <w:rPr>
                <w:rFonts w:hint="eastAsia"/>
                <w:szCs w:val="21"/>
                <w:highlight w:val="none"/>
              </w:rPr>
              <w:t>、</w:t>
            </w:r>
            <w:r>
              <w:rPr>
                <w:szCs w:val="21"/>
                <w:highlight w:val="none"/>
              </w:rPr>
              <w:t>是否有被投诉情况、政府主管部门监管情况、组织结构</w:t>
            </w:r>
            <w:r>
              <w:rPr>
                <w:szCs w:val="21"/>
              </w:rPr>
              <w:t>、上次审核的不符合整改情况等）</w:t>
            </w:r>
          </w:p>
        </w:tc>
        <w:tc>
          <w:tcPr>
            <w:tcW w:w="960" w:type="dxa"/>
            <w:vAlign w:val="center"/>
          </w:tcPr>
          <w:p>
            <w:pPr>
              <w:rPr>
                <w:rFonts w:hint="eastAsia"/>
                <w:sz w:val="24"/>
                <w:lang w:val="en-US" w:eastAsia="zh-CN"/>
              </w:rPr>
            </w:pPr>
          </w:p>
        </w:tc>
        <w:tc>
          <w:tcPr>
            <w:tcW w:w="10004" w:type="dxa"/>
            <w:vAlign w:val="center"/>
          </w:tcPr>
          <w:p>
            <w:pPr>
              <w:rPr>
                <w:szCs w:val="21"/>
              </w:rPr>
            </w:pPr>
            <w:r>
              <w:rPr>
                <w:rFonts w:hint="eastAsia"/>
                <w:szCs w:val="21"/>
              </w:rPr>
              <w:t>企业基本信息：</w:t>
            </w:r>
          </w:p>
          <w:p>
            <w:pPr>
              <w:rPr>
                <w:szCs w:val="21"/>
              </w:rPr>
            </w:pPr>
            <w:r>
              <w:rPr>
                <w:rFonts w:hint="eastAsia"/>
                <w:szCs w:val="21"/>
              </w:rPr>
              <w:t>1、</w:t>
            </w:r>
            <w:r>
              <w:rPr>
                <w:szCs w:val="21"/>
              </w:rPr>
              <w:t>受审核方</w:t>
            </w:r>
            <w:r>
              <w:rPr>
                <w:rFonts w:hint="eastAsia" w:ascii="宋体" w:hAnsi="宋体" w:cs="宋体"/>
                <w:color w:val="000000"/>
                <w:kern w:val="0"/>
                <w:szCs w:val="24"/>
              </w:rPr>
              <w:t>安徽圣源橡塑科技有限公司</w:t>
            </w:r>
            <w:r>
              <w:rPr>
                <w:szCs w:val="21"/>
              </w:rPr>
              <w:t>成立于20</w:t>
            </w:r>
            <w:r>
              <w:rPr>
                <w:rFonts w:hint="eastAsia"/>
                <w:szCs w:val="21"/>
              </w:rPr>
              <w:t>10</w:t>
            </w:r>
            <w:r>
              <w:rPr>
                <w:szCs w:val="21"/>
              </w:rPr>
              <w:t>年</w:t>
            </w:r>
            <w:r>
              <w:rPr>
                <w:rFonts w:hint="eastAsia"/>
                <w:szCs w:val="21"/>
              </w:rPr>
              <w:t>6</w:t>
            </w:r>
            <w:r>
              <w:rPr>
                <w:szCs w:val="21"/>
              </w:rPr>
              <w:t>月</w:t>
            </w:r>
            <w:r>
              <w:rPr>
                <w:rFonts w:hint="eastAsia"/>
                <w:szCs w:val="21"/>
              </w:rPr>
              <w:t>4</w:t>
            </w:r>
            <w:r>
              <w:rPr>
                <w:szCs w:val="21"/>
              </w:rPr>
              <w:t>日，注册资本</w:t>
            </w:r>
            <w:r>
              <w:rPr>
                <w:rFonts w:hint="eastAsia"/>
                <w:szCs w:val="21"/>
              </w:rPr>
              <w:t>1000</w:t>
            </w:r>
            <w:r>
              <w:rPr>
                <w:szCs w:val="21"/>
              </w:rPr>
              <w:t>万元，位于</w:t>
            </w:r>
            <w:r>
              <w:rPr>
                <w:rFonts w:ascii="宋体" w:hAnsi="宋体"/>
                <w:szCs w:val="21"/>
              </w:rPr>
              <w:t>安徽省滁州市来安县经济开发区裕安西路81号</w:t>
            </w:r>
            <w:r>
              <w:rPr>
                <w:szCs w:val="21"/>
              </w:rPr>
              <w:t>，生产面积约</w:t>
            </w:r>
            <w:r>
              <w:rPr>
                <w:rFonts w:hint="eastAsia"/>
                <w:szCs w:val="21"/>
              </w:rPr>
              <w:t>20000</w:t>
            </w:r>
            <w:r>
              <w:rPr>
                <w:szCs w:val="21"/>
              </w:rPr>
              <w:t>平米、仓库面积约50</w:t>
            </w:r>
            <w:r>
              <w:rPr>
                <w:rFonts w:hint="eastAsia"/>
                <w:szCs w:val="21"/>
              </w:rPr>
              <w:t>00</w:t>
            </w:r>
            <w:r>
              <w:rPr>
                <w:szCs w:val="21"/>
              </w:rPr>
              <w:t>平米，主要从事</w:t>
            </w:r>
            <w:r>
              <w:rPr>
                <w:rFonts w:ascii="宋体" w:hAnsi="宋体" w:cs="宋体"/>
                <w:color w:val="000000"/>
                <w:kern w:val="0"/>
                <w:szCs w:val="24"/>
              </w:rPr>
              <w:t>塑料件喷涂（含镀膜）的加工</w:t>
            </w:r>
            <w:r>
              <w:rPr>
                <w:szCs w:val="21"/>
              </w:rPr>
              <w:t>。</w:t>
            </w:r>
          </w:p>
          <w:p>
            <w:pPr>
              <w:rPr>
                <w:szCs w:val="21"/>
              </w:rPr>
            </w:pPr>
            <w:r>
              <w:rPr>
                <w:rFonts w:hint="eastAsia"/>
                <w:szCs w:val="21"/>
              </w:rPr>
              <w:t>2、资质：营业执照91341122556330232H（1-1）现行有效</w:t>
            </w:r>
          </w:p>
          <w:p>
            <w:pPr>
              <w:rPr>
                <w:rFonts w:ascii="宋体" w:hAnsi="宋体" w:cs="宋体"/>
                <w:color w:val="000000"/>
                <w:kern w:val="0"/>
                <w:szCs w:val="24"/>
              </w:rPr>
            </w:pPr>
            <w:r>
              <w:rPr>
                <w:rFonts w:hint="eastAsia"/>
                <w:szCs w:val="21"/>
              </w:rPr>
              <w:t>3、认证范围：</w:t>
            </w:r>
            <w:r>
              <w:rPr>
                <w:rFonts w:ascii="宋体" w:hAnsi="宋体" w:cs="宋体"/>
                <w:color w:val="000000"/>
                <w:kern w:val="0"/>
                <w:szCs w:val="24"/>
              </w:rPr>
              <w:t>塑料件喷涂（含镀膜）的加工</w:t>
            </w:r>
            <w:r>
              <w:rPr>
                <w:rFonts w:hint="eastAsia" w:ascii="宋体" w:hAnsi="宋体" w:cs="宋体"/>
                <w:color w:val="000000"/>
                <w:kern w:val="0"/>
                <w:szCs w:val="24"/>
              </w:rPr>
              <w:t xml:space="preserve">  无变化</w:t>
            </w:r>
          </w:p>
          <w:p>
            <w:pPr>
              <w:rPr>
                <w:rFonts w:ascii="宋体" w:hAnsi="宋体" w:cs="宋体"/>
                <w:color w:val="000000"/>
                <w:kern w:val="0"/>
                <w:szCs w:val="24"/>
              </w:rPr>
            </w:pPr>
            <w:r>
              <w:rPr>
                <w:rFonts w:hint="eastAsia" w:ascii="宋体" w:hAnsi="宋体" w:cs="宋体"/>
                <w:color w:val="000000"/>
                <w:kern w:val="0"/>
                <w:szCs w:val="24"/>
              </w:rPr>
              <w:t>4、被投诉情况：无</w:t>
            </w:r>
          </w:p>
          <w:p>
            <w:pPr>
              <w:rPr>
                <w:szCs w:val="21"/>
              </w:rPr>
            </w:pPr>
            <w:r>
              <w:rPr>
                <w:rFonts w:hint="eastAsia" w:ascii="宋体" w:hAnsi="宋体" w:cs="宋体"/>
                <w:color w:val="000000"/>
                <w:kern w:val="0"/>
                <w:szCs w:val="24"/>
              </w:rPr>
              <w:t>5、</w:t>
            </w:r>
            <w:r>
              <w:rPr>
                <w:szCs w:val="21"/>
              </w:rPr>
              <w:t>政府主管部门监管情况：无</w:t>
            </w:r>
          </w:p>
          <w:p>
            <w:pPr>
              <w:rPr>
                <w:szCs w:val="21"/>
              </w:rPr>
            </w:pPr>
            <w:r>
              <w:rPr>
                <w:rFonts w:hint="eastAsia"/>
                <w:szCs w:val="21"/>
              </w:rPr>
              <w:t>6、企业组织结构:管理层、管理部、生产部、技术质量部、销售部</w:t>
            </w:r>
          </w:p>
          <w:p>
            <w:pPr>
              <w:rPr>
                <w:rFonts w:hint="eastAsia"/>
                <w:szCs w:val="21"/>
                <w:highlight w:val="none"/>
              </w:rPr>
            </w:pPr>
            <w:r>
              <w:rPr>
                <w:rFonts w:hint="eastAsia"/>
                <w:szCs w:val="21"/>
              </w:rPr>
              <w:t>7、</w:t>
            </w:r>
            <w:r>
              <w:rPr>
                <w:rFonts w:hint="eastAsia"/>
                <w:szCs w:val="21"/>
                <w:lang w:val="en-US" w:eastAsia="zh-CN"/>
              </w:rPr>
              <w:t>第一次监督审核未</w:t>
            </w:r>
            <w:r>
              <w:rPr>
                <w:rFonts w:hint="eastAsia"/>
                <w:szCs w:val="21"/>
              </w:rPr>
              <w:t>开具的不符合项</w:t>
            </w:r>
          </w:p>
          <w:p>
            <w:pPr>
              <w:rPr>
                <w:rFonts w:hint="eastAsia"/>
                <w:szCs w:val="21"/>
              </w:rPr>
            </w:pPr>
            <w:r>
              <w:rPr>
                <w:rFonts w:hint="eastAsia"/>
                <w:szCs w:val="21"/>
                <w:highlight w:val="none"/>
              </w:rPr>
              <w:t>8、王总介绍，取得证书主要是强化企业质量管理，证书使用情况：主要用于企业宣传和投标。</w:t>
            </w:r>
          </w:p>
        </w:tc>
        <w:tc>
          <w:tcPr>
            <w:tcW w:w="1585" w:type="dxa"/>
          </w:tcPr>
          <w:p>
            <w:pP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eastAsia="宋体"/>
                <w:sz w:val="24"/>
                <w:lang w:val="en-US" w:eastAsia="zh-CN"/>
              </w:rPr>
            </w:pPr>
            <w:r>
              <w:rPr>
                <w:rFonts w:hint="eastAsia"/>
                <w:sz w:val="24"/>
                <w:lang w:val="en-US" w:eastAsia="zh-CN"/>
              </w:rPr>
              <w:t>理解组织及环境</w:t>
            </w:r>
          </w:p>
        </w:tc>
        <w:tc>
          <w:tcPr>
            <w:tcW w:w="960" w:type="dxa"/>
          </w:tcPr>
          <w:p>
            <w:pPr>
              <w:rPr>
                <w:rFonts w:hint="default" w:eastAsia="宋体"/>
                <w:sz w:val="24"/>
                <w:lang w:val="en-US" w:eastAsia="zh-CN"/>
              </w:rPr>
            </w:pPr>
            <w:r>
              <w:rPr>
                <w:rFonts w:hint="eastAsia"/>
                <w:sz w:val="24"/>
                <w:lang w:val="en-US" w:eastAsia="zh-CN"/>
              </w:rPr>
              <w:t>Q4.1</w:t>
            </w:r>
          </w:p>
        </w:tc>
        <w:tc>
          <w:tcPr>
            <w:tcW w:w="10004" w:type="dxa"/>
          </w:tcPr>
          <w:p>
            <w:pPr>
              <w:rPr>
                <w:rFonts w:hint="default" w:ascii="宋体" w:hAnsi="宋体" w:eastAsia="宋体"/>
                <w:lang w:val="en-US" w:eastAsia="zh-CN"/>
              </w:rPr>
            </w:pPr>
            <w:r>
              <w:rPr>
                <w:rFonts w:hint="eastAsia" w:ascii="宋体" w:hAnsi="宋体"/>
              </w:rPr>
              <w:t xml:space="preserve">总经理: </w:t>
            </w:r>
            <w:r>
              <w:rPr>
                <w:rFonts w:hint="eastAsia"/>
                <w:sz w:val="24"/>
                <w:szCs w:val="24"/>
              </w:rPr>
              <w:t>王浩</w:t>
            </w:r>
          </w:p>
          <w:p>
            <w:pPr>
              <w:rPr>
                <w:rFonts w:hint="eastAsia" w:eastAsia="宋体"/>
                <w:lang w:val="en-US" w:eastAsia="zh-CN"/>
              </w:rPr>
            </w:pPr>
            <w:r>
              <w:rPr>
                <w:rFonts w:hint="eastAsia" w:ascii="宋体" w:hAnsi="宋体"/>
              </w:rPr>
              <w:t xml:space="preserve">管理者代表: </w:t>
            </w:r>
            <w:r>
              <w:rPr>
                <w:rFonts w:hint="eastAsia"/>
                <w:sz w:val="24"/>
                <w:szCs w:val="24"/>
              </w:rPr>
              <w:t>毕仕春</w:t>
            </w:r>
            <w:r>
              <w:rPr>
                <w:rFonts w:hint="eastAsia"/>
                <w:sz w:val="24"/>
              </w:rPr>
              <w:t xml:space="preserve"> </w:t>
            </w:r>
            <w:r>
              <w:rPr>
                <w:rFonts w:hint="eastAsia" w:ascii="宋体" w:hAnsi="宋体"/>
              </w:rPr>
              <w:t>，知晓除本身工作职责外，管理体系还赋予其职责和权限, 持续保持管理体系运行的有效性</w:t>
            </w:r>
            <w:r>
              <w:rPr>
                <w:rFonts w:hint="eastAsia" w:ascii="宋体" w:hAnsi="宋体"/>
                <w:lang w:eastAsia="zh-CN"/>
              </w:rPr>
              <w:t>。</w:t>
            </w:r>
          </w:p>
          <w:p>
            <w:pPr>
              <w:rPr>
                <w:rFonts w:hint="default" w:eastAsia="宋体"/>
                <w:szCs w:val="21"/>
                <w:lang w:val="en-US" w:eastAsia="zh-CN"/>
              </w:rPr>
            </w:pPr>
            <w:r>
              <w:rPr>
                <w:rFonts w:hint="eastAsia"/>
                <w:szCs w:val="21"/>
                <w:lang w:val="en-US" w:eastAsia="zh-CN"/>
              </w:rPr>
              <w:t>查</w:t>
            </w:r>
            <w:r>
              <w:rPr>
                <w:rFonts w:hint="eastAsia"/>
                <w:szCs w:val="21"/>
              </w:rPr>
              <w:t>《相关方的需求和期望清单》和《风险与机遇识别评价与应对策划表》</w:t>
            </w:r>
            <w:r>
              <w:rPr>
                <w:rFonts w:hint="eastAsia"/>
                <w:szCs w:val="21"/>
                <w:lang w:eastAsia="zh-CN"/>
              </w:rPr>
              <w:t>，</w:t>
            </w:r>
            <w:r>
              <w:rPr>
                <w:rFonts w:hint="eastAsia"/>
                <w:szCs w:val="21"/>
                <w:lang w:val="en-US" w:eastAsia="zh-CN"/>
              </w:rPr>
              <w:t>分析了组织相关的内外部因素：</w:t>
            </w:r>
          </w:p>
          <w:p>
            <w:pPr>
              <w:rPr>
                <w:rFonts w:hint="eastAsia"/>
                <w:szCs w:val="21"/>
              </w:rPr>
            </w:pPr>
            <w:r>
              <w:rPr>
                <w:szCs w:val="21"/>
              </w:rPr>
              <w:t>内部因素</w:t>
            </w:r>
            <w:r>
              <w:rPr>
                <w:rFonts w:hint="eastAsia"/>
                <w:szCs w:val="21"/>
              </w:rPr>
              <w:t>：</w:t>
            </w:r>
            <w:r>
              <w:rPr>
                <w:rFonts w:hint="eastAsia" w:ascii="宋体" w:hAnsi="宋体"/>
                <w:szCs w:val="21"/>
              </w:rPr>
              <w:t>■</w:t>
            </w:r>
            <w:r>
              <w:rPr>
                <w:rFonts w:hint="eastAsia"/>
                <w:szCs w:val="21"/>
                <w:lang w:val="en-US" w:eastAsia="zh-CN"/>
              </w:rPr>
              <w:t>财务状况</w:t>
            </w:r>
            <w:r>
              <w:rPr>
                <w:rFonts w:hint="eastAsia"/>
                <w:szCs w:val="21"/>
              </w:rPr>
              <w:t>；</w:t>
            </w:r>
            <w:r>
              <w:rPr>
                <w:rFonts w:hint="eastAsia" w:ascii="宋体" w:hAnsi="宋体"/>
                <w:szCs w:val="21"/>
              </w:rPr>
              <w:t>■</w:t>
            </w:r>
            <w:r>
              <w:rPr>
                <w:rFonts w:hint="eastAsia"/>
                <w:szCs w:val="21"/>
              </w:rPr>
              <w:t>加工设备设施；</w:t>
            </w:r>
            <w:r>
              <w:rPr>
                <w:rFonts w:hint="eastAsia" w:ascii="宋体" w:hAnsi="宋体"/>
                <w:szCs w:val="21"/>
              </w:rPr>
              <w:t>■</w:t>
            </w:r>
            <w:r>
              <w:rPr>
                <w:rFonts w:hint="eastAsia"/>
                <w:szCs w:val="21"/>
                <w:lang w:val="en-US" w:eastAsia="zh-CN"/>
              </w:rPr>
              <w:t>人员流动</w:t>
            </w:r>
            <w:r>
              <w:rPr>
                <w:rFonts w:hint="eastAsia"/>
                <w:szCs w:val="21"/>
              </w:rPr>
              <w:t>；</w:t>
            </w:r>
            <w:r>
              <w:rPr>
                <w:rFonts w:hint="eastAsia" w:ascii="宋体" w:hAnsi="宋体"/>
                <w:szCs w:val="21"/>
              </w:rPr>
              <w:t>■管理绩效</w:t>
            </w:r>
            <w:r>
              <w:rPr>
                <w:rFonts w:hint="eastAsia"/>
                <w:szCs w:val="21"/>
              </w:rPr>
              <w:t>；</w:t>
            </w:r>
          </w:p>
          <w:p>
            <w:pPr>
              <w:rPr>
                <w:rFonts w:hint="default"/>
                <w:lang w:val="en-US" w:eastAsia="zh-CN"/>
              </w:rPr>
            </w:pPr>
            <w:r>
              <w:rPr>
                <w:rFonts w:hint="eastAsia"/>
                <w:szCs w:val="21"/>
              </w:rPr>
              <w:t>外部因素：</w:t>
            </w:r>
            <w:r>
              <w:rPr>
                <w:rFonts w:hint="eastAsia" w:ascii="宋体" w:hAnsi="宋体"/>
                <w:szCs w:val="21"/>
              </w:rPr>
              <w:t>■</w:t>
            </w:r>
            <w:r>
              <w:rPr>
                <w:rFonts w:hint="eastAsia" w:ascii="宋体" w:hAnsi="宋体"/>
                <w:szCs w:val="21"/>
                <w:lang w:val="en-US" w:eastAsia="zh-CN"/>
              </w:rPr>
              <w:t>外部招工难</w:t>
            </w:r>
            <w:r>
              <w:rPr>
                <w:rFonts w:hint="eastAsia"/>
                <w:szCs w:val="21"/>
              </w:rPr>
              <w:t>；</w:t>
            </w:r>
            <w:r>
              <w:rPr>
                <w:rFonts w:hint="eastAsia" w:ascii="宋体" w:hAnsi="宋体"/>
                <w:szCs w:val="21"/>
              </w:rPr>
              <w:t>■社会经济环境</w:t>
            </w:r>
            <w:r>
              <w:rPr>
                <w:rFonts w:hint="eastAsia"/>
                <w:szCs w:val="21"/>
              </w:rPr>
              <w:t>；</w:t>
            </w:r>
            <w:r>
              <w:rPr>
                <w:rFonts w:hint="eastAsia" w:ascii="宋体" w:hAnsi="宋体"/>
                <w:szCs w:val="21"/>
              </w:rPr>
              <w:t>■</w:t>
            </w:r>
            <w:r>
              <w:rPr>
                <w:rFonts w:hint="eastAsia"/>
                <w:szCs w:val="21"/>
                <w:lang w:val="en-US" w:eastAsia="zh-CN"/>
              </w:rPr>
              <w:t>行业</w:t>
            </w:r>
            <w:r>
              <w:rPr>
                <w:rFonts w:hint="eastAsia"/>
                <w:szCs w:val="21"/>
              </w:rPr>
              <w:t>竞争需求；</w:t>
            </w:r>
            <w:r>
              <w:rPr>
                <w:rFonts w:hint="eastAsia" w:ascii="宋体" w:hAnsi="宋体"/>
                <w:szCs w:val="21"/>
              </w:rPr>
              <w:t>■</w:t>
            </w:r>
            <w:r>
              <w:rPr>
                <w:rFonts w:hint="eastAsia"/>
                <w:szCs w:val="21"/>
              </w:rPr>
              <w:t>国家的法律法规；</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tcPr>
          <w:p>
            <w:pPr>
              <w:rPr>
                <w:rFonts w:hint="eastAsia"/>
                <w:sz w:val="24"/>
                <w:lang w:val="en-US" w:eastAsia="zh-CN"/>
              </w:rPr>
            </w:pPr>
            <w:r>
              <w:rPr>
                <w:rFonts w:hint="eastAsia"/>
                <w:szCs w:val="21"/>
              </w:rPr>
              <w:t>相关方需求和期望</w:t>
            </w:r>
          </w:p>
        </w:tc>
        <w:tc>
          <w:tcPr>
            <w:tcW w:w="960" w:type="dxa"/>
          </w:tcPr>
          <w:p>
            <w:pPr>
              <w:rPr>
                <w:rFonts w:hint="default"/>
                <w:sz w:val="24"/>
                <w:lang w:val="en-US" w:eastAsia="zh-CN"/>
              </w:rPr>
            </w:pPr>
            <w:r>
              <w:rPr>
                <w:rFonts w:hint="eastAsia"/>
                <w:sz w:val="24"/>
                <w:lang w:val="en-US" w:eastAsia="zh-CN"/>
              </w:rPr>
              <w:t>Q4.2</w:t>
            </w:r>
          </w:p>
        </w:tc>
        <w:tc>
          <w:tcPr>
            <w:tcW w:w="10004" w:type="dxa"/>
          </w:tcPr>
          <w:p>
            <w:pPr>
              <w:spacing w:line="340" w:lineRule="exact"/>
              <w:rPr>
                <w:rFonts w:hint="eastAsia"/>
                <w:sz w:val="24"/>
                <w:lang w:val="en-US" w:eastAsia="zh-CN"/>
              </w:rPr>
            </w:pPr>
            <w:r>
              <w:rPr>
                <w:rFonts w:hint="eastAsia" w:ascii="宋体" w:hAnsi="宋体"/>
                <w:sz w:val="24"/>
                <w:lang w:val="en-US" w:eastAsia="zh-CN"/>
              </w:rPr>
              <w:t>公司相关方包括：顾客、供方、员工、审核机构、政府机构。查《相关方的需求和期望清单》，明确写明相关方的需求和期望，公司监测的指标或项目以及监测部门和频率。</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eastAsia="宋体"/>
                <w:szCs w:val="21"/>
                <w:lang w:val="en-US" w:eastAsia="zh-CN"/>
              </w:rPr>
            </w:pPr>
            <w:r>
              <w:rPr>
                <w:rFonts w:hint="eastAsia"/>
                <w:szCs w:val="21"/>
                <w:lang w:val="en-US" w:eastAsia="zh-CN"/>
              </w:rPr>
              <w:t>质量管理体系的范围</w:t>
            </w:r>
          </w:p>
        </w:tc>
        <w:tc>
          <w:tcPr>
            <w:tcW w:w="960" w:type="dxa"/>
          </w:tcPr>
          <w:p>
            <w:pPr>
              <w:rPr>
                <w:rFonts w:hint="eastAsia"/>
                <w:sz w:val="24"/>
                <w:lang w:val="en-US" w:eastAsia="zh-CN"/>
              </w:rPr>
            </w:pPr>
            <w:r>
              <w:rPr>
                <w:rFonts w:hint="eastAsia"/>
                <w:sz w:val="24"/>
                <w:lang w:val="en-US" w:eastAsia="zh-CN"/>
              </w:rPr>
              <w:t>Q4.3</w:t>
            </w:r>
          </w:p>
        </w:tc>
        <w:tc>
          <w:tcPr>
            <w:tcW w:w="10004" w:type="dxa"/>
          </w:tcPr>
          <w:p>
            <w:pPr>
              <w:spacing w:line="340" w:lineRule="exact"/>
              <w:rPr>
                <w:rFonts w:hint="default" w:ascii="宋体" w:hAnsi="宋体"/>
                <w:sz w:val="24"/>
                <w:lang w:val="en-US" w:eastAsia="zh-CN"/>
              </w:rPr>
            </w:pPr>
            <w:r>
              <w:rPr>
                <w:rFonts w:hint="eastAsia" w:ascii="宋体" w:hAnsi="宋体"/>
                <w:sz w:val="24"/>
                <w:lang w:val="en-US" w:eastAsia="zh-CN"/>
              </w:rPr>
              <w:t>申请认证的范围：非标自动化设备设施的生产</w:t>
            </w:r>
          </w:p>
          <w:p>
            <w:pPr>
              <w:spacing w:line="340" w:lineRule="exact"/>
              <w:rPr>
                <w:rFonts w:hint="default" w:ascii="宋体" w:hAnsi="宋体"/>
                <w:sz w:val="24"/>
                <w:lang w:val="en-US" w:eastAsia="zh-CN"/>
              </w:rPr>
            </w:pPr>
            <w:r>
              <w:rPr>
                <w:rFonts w:hint="eastAsia" w:ascii="宋体" w:hAnsi="宋体"/>
                <w:sz w:val="24"/>
                <w:lang w:val="en-US" w:eastAsia="zh-CN"/>
              </w:rPr>
              <w:t>覆盖的部门：管理部、销售部、生产部（仓库）、技术质量部</w:t>
            </w:r>
          </w:p>
          <w:p>
            <w:pPr>
              <w:spacing w:line="340" w:lineRule="exact"/>
              <w:rPr>
                <w:rFonts w:hint="eastAsia" w:ascii="宋体" w:hAnsi="宋体"/>
                <w:sz w:val="24"/>
                <w:lang w:val="en-US" w:eastAsia="zh-CN"/>
              </w:rPr>
            </w:pPr>
            <w:r>
              <w:rPr>
                <w:rFonts w:hint="eastAsia" w:ascii="宋体" w:hAnsi="宋体"/>
                <w:sz w:val="24"/>
                <w:lang w:val="en-US" w:eastAsia="zh-CN"/>
              </w:rPr>
              <w:t>覆盖的时期：2019年至现在</w:t>
            </w:r>
          </w:p>
          <w:p>
            <w:pPr>
              <w:spacing w:line="340" w:lineRule="exact"/>
              <w:rPr>
                <w:rFonts w:hint="eastAsia" w:ascii="宋体" w:hAnsi="宋体"/>
                <w:sz w:val="24"/>
                <w:lang w:val="en-US" w:eastAsia="zh-CN"/>
              </w:rPr>
            </w:pPr>
            <w:r>
              <w:rPr>
                <w:rFonts w:hint="eastAsia" w:ascii="宋体" w:hAnsi="宋体"/>
                <w:sz w:val="24"/>
                <w:lang w:val="en-US" w:eastAsia="zh-CN"/>
              </w:rPr>
              <w:t>注册地址：</w:t>
            </w:r>
            <w:bookmarkStart w:id="0" w:name="生产地址"/>
            <w:r>
              <w:rPr>
                <w:rFonts w:hint="eastAsia" w:ascii="宋体" w:hAnsi="宋体"/>
                <w:sz w:val="24"/>
                <w:lang w:val="en-US" w:eastAsia="zh-CN"/>
              </w:rPr>
              <w:t>安徽省滁州市来安县经济开发区裕安西路81号</w:t>
            </w:r>
            <w:bookmarkEnd w:id="0"/>
          </w:p>
          <w:p>
            <w:pPr>
              <w:spacing w:line="340" w:lineRule="exact"/>
              <w:rPr>
                <w:rFonts w:hint="eastAsia" w:ascii="宋体" w:hAnsi="宋体"/>
                <w:sz w:val="24"/>
                <w:lang w:val="en-US" w:eastAsia="zh-CN"/>
              </w:rPr>
            </w:pPr>
            <w:r>
              <w:rPr>
                <w:rFonts w:hint="eastAsia" w:ascii="宋体" w:hAnsi="宋体"/>
                <w:sz w:val="24"/>
                <w:lang w:val="en-US" w:eastAsia="zh-CN"/>
              </w:rPr>
              <w:t>不适用条款：8.3，产品和服务依据客户技术要求生产，目前工艺流程简单，生产技术成熟、销售模式固定，无设计开发要求，故不适用8.3条款，不影响组织确保其产品和服务合格的能力或责任，对增强顾客满意也不会产生影响</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160" w:type="dxa"/>
          </w:tcPr>
          <w:p>
            <w:pPr>
              <w:rPr>
                <w:rFonts w:hint="default"/>
                <w:szCs w:val="21"/>
                <w:lang w:val="en-US" w:eastAsia="zh-CN"/>
              </w:rPr>
            </w:pPr>
            <w:r>
              <w:rPr>
                <w:rFonts w:hint="eastAsia"/>
                <w:szCs w:val="21"/>
                <w:lang w:val="en-US" w:eastAsia="zh-CN"/>
              </w:rPr>
              <w:t>质量管理体系及其过程</w:t>
            </w:r>
          </w:p>
        </w:tc>
        <w:tc>
          <w:tcPr>
            <w:tcW w:w="960" w:type="dxa"/>
          </w:tcPr>
          <w:p>
            <w:pPr>
              <w:rPr>
                <w:rFonts w:hint="eastAsia"/>
                <w:sz w:val="24"/>
                <w:lang w:val="en-US" w:eastAsia="zh-CN"/>
              </w:rPr>
            </w:pPr>
            <w:r>
              <w:rPr>
                <w:rFonts w:hint="eastAsia"/>
                <w:sz w:val="24"/>
                <w:lang w:val="en-US" w:eastAsia="zh-CN"/>
              </w:rPr>
              <w:t>Q4.4</w:t>
            </w:r>
          </w:p>
        </w:tc>
        <w:tc>
          <w:tcPr>
            <w:tcW w:w="10004" w:type="dxa"/>
            <w:vAlign w:val="center"/>
          </w:tcPr>
          <w:p>
            <w:pPr>
              <w:rPr>
                <w:szCs w:val="21"/>
              </w:rPr>
            </w:pPr>
            <w:r>
              <w:rPr>
                <w:szCs w:val="21"/>
              </w:rPr>
              <w:sym w:font="Wingdings 2" w:char="F098"/>
            </w:r>
            <w:r>
              <w:rPr>
                <w:szCs w:val="21"/>
              </w:rPr>
              <w:t>公司依据 GB/T19001-2016标准，于201</w:t>
            </w:r>
            <w:r>
              <w:rPr>
                <w:rFonts w:hint="eastAsia"/>
                <w:szCs w:val="21"/>
              </w:rPr>
              <w:t>9</w:t>
            </w:r>
            <w:r>
              <w:rPr>
                <w:szCs w:val="21"/>
              </w:rPr>
              <w:t>年</w:t>
            </w:r>
            <w:r>
              <w:rPr>
                <w:rFonts w:hint="eastAsia"/>
                <w:szCs w:val="21"/>
              </w:rPr>
              <w:t>1</w:t>
            </w:r>
            <w:r>
              <w:rPr>
                <w:szCs w:val="21"/>
              </w:rPr>
              <w:t>月1日建立了质量管理体系。遵循 PDCA 方法，识别了标准中所需要的四大过程，确定了过程的相互顺序和作用：管理职责确定－资源提供－产品实现－测量和改进。对标准的8.3条款不适用。</w:t>
            </w:r>
          </w:p>
          <w:p>
            <w:pPr>
              <w:rPr>
                <w:szCs w:val="21"/>
              </w:rPr>
            </w:pPr>
            <w:r>
              <w:rPr>
                <w:szCs w:val="21"/>
              </w:rPr>
              <w:sym w:font="Wingdings 2" w:char="F098"/>
            </w:r>
            <w:r>
              <w:rPr>
                <w:szCs w:val="21"/>
              </w:rPr>
              <w:t>公司明确规定产品执行标准（国家、行业标准）和客户要求，并通过各环节控制，监视、测量、考核使其达到有效运行。</w:t>
            </w:r>
          </w:p>
          <w:p>
            <w:pPr>
              <w:rPr>
                <w:szCs w:val="21"/>
              </w:rPr>
            </w:pPr>
            <w:r>
              <w:rPr>
                <w:szCs w:val="21"/>
              </w:rPr>
              <w:sym w:font="Wingdings 2" w:char="F098"/>
            </w:r>
            <w:r>
              <w:rPr>
                <w:szCs w:val="21"/>
              </w:rPr>
              <w:t>公司编制了质量手册、程序文件及管理作业文件、记录表格等。通过质量手册、程序文件明确各部门职责、权限；资源管理，测量分析和改进、运行控制等过程。</w:t>
            </w:r>
          </w:p>
          <w:p>
            <w:pPr>
              <w:rPr>
                <w:szCs w:val="21"/>
              </w:rPr>
            </w:pPr>
            <w:r>
              <w:rPr>
                <w:szCs w:val="21"/>
              </w:rPr>
              <w:sym w:font="Wingdings 2" w:char="F098"/>
            </w:r>
            <w:r>
              <w:rPr>
                <w:szCs w:val="21"/>
              </w:rPr>
              <w:t>通过对各主要环节的风险评估，识别，评价并制定相应措施进行风险控制（包括实施过程中所需要的变更）。</w:t>
            </w:r>
          </w:p>
          <w:p>
            <w:pPr>
              <w:rPr>
                <w:szCs w:val="21"/>
              </w:rPr>
            </w:pPr>
            <w:r>
              <w:rPr>
                <w:szCs w:val="21"/>
              </w:rPr>
              <w:sym w:font="Wingdings 2" w:char="F098"/>
            </w:r>
            <w:r>
              <w:rPr>
                <w:szCs w:val="21"/>
              </w:rPr>
              <w:t>通过监视、测量和分析结果以及内审、管理评审等达到持续改进的目的。</w:t>
            </w:r>
          </w:p>
          <w:p>
            <w:pPr>
              <w:rPr>
                <w:rFonts w:hint="eastAsia"/>
                <w:sz w:val="24"/>
                <w:lang w:val="en-US" w:eastAsia="zh-CN"/>
              </w:rPr>
            </w:pPr>
            <w:r>
              <w:rPr>
                <w:szCs w:val="21"/>
              </w:rPr>
              <w:sym w:font="Wingdings 2" w:char="F098"/>
            </w:r>
            <w:r>
              <w:rPr>
                <w:szCs w:val="21"/>
              </w:rPr>
              <w:t>经识别外包过程：无</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szCs w:val="21"/>
                <w:lang w:val="en-US" w:eastAsia="zh-CN"/>
              </w:rPr>
            </w:pPr>
            <w:r>
              <w:rPr>
                <w:rFonts w:hint="eastAsia"/>
                <w:szCs w:val="21"/>
                <w:lang w:val="en-US" w:eastAsia="zh-CN"/>
              </w:rPr>
              <w:t>领导的作用和承诺</w:t>
            </w:r>
          </w:p>
        </w:tc>
        <w:tc>
          <w:tcPr>
            <w:tcW w:w="960" w:type="dxa"/>
          </w:tcPr>
          <w:p>
            <w:pPr>
              <w:rPr>
                <w:rFonts w:hint="default"/>
                <w:sz w:val="24"/>
                <w:lang w:val="en-US" w:eastAsia="zh-CN"/>
              </w:rPr>
            </w:pPr>
            <w:r>
              <w:rPr>
                <w:rFonts w:hint="eastAsia"/>
                <w:sz w:val="24"/>
                <w:lang w:val="en-US" w:eastAsia="zh-CN"/>
              </w:rPr>
              <w:t>Q5.1</w:t>
            </w:r>
          </w:p>
        </w:tc>
        <w:tc>
          <w:tcPr>
            <w:tcW w:w="10004" w:type="dxa"/>
          </w:tcPr>
          <w:p>
            <w:pPr>
              <w:spacing w:line="340" w:lineRule="exact"/>
              <w:rPr>
                <w:rFonts w:hint="eastAsia"/>
                <w:sz w:val="24"/>
                <w:lang w:val="en-US" w:eastAsia="zh-CN"/>
              </w:rPr>
            </w:pPr>
            <w:r>
              <w:rPr>
                <w:rFonts w:hint="eastAsia"/>
                <w:sz w:val="24"/>
                <w:lang w:val="en-US" w:eastAsia="zh-CN"/>
              </w:rPr>
              <w:t>在《管理手册》中5.1.1条款中有关于最高管理者承诺的描述；包括下列内容：</w:t>
            </w:r>
          </w:p>
          <w:p>
            <w:pPr>
              <w:spacing w:line="340" w:lineRule="exact"/>
              <w:rPr>
                <w:rFonts w:hint="eastAsia"/>
                <w:sz w:val="24"/>
                <w:lang w:val="en-US" w:eastAsia="zh-CN"/>
              </w:rPr>
            </w:pPr>
            <w:r>
              <w:rPr>
                <w:rFonts w:hint="eastAsia"/>
                <w:sz w:val="24"/>
                <w:lang w:val="en-US" w:eastAsia="zh-CN"/>
              </w:rPr>
              <w:t xml:space="preserve">a) 对管理体系的有效性责任； </w:t>
            </w:r>
          </w:p>
          <w:p>
            <w:pPr>
              <w:spacing w:line="340" w:lineRule="exact"/>
              <w:rPr>
                <w:rFonts w:hint="eastAsia"/>
                <w:sz w:val="24"/>
                <w:lang w:val="en-US" w:eastAsia="zh-CN"/>
              </w:rPr>
            </w:pPr>
            <w:r>
              <w:rPr>
                <w:rFonts w:hint="eastAsia"/>
                <w:sz w:val="24"/>
                <w:lang w:val="en-US" w:eastAsia="zh-CN"/>
              </w:rPr>
              <w:t xml:space="preserve">b) 确保制定管理体系的方针和目标，并与组织环境相适应，与战略方向相一致； </w:t>
            </w:r>
          </w:p>
          <w:p>
            <w:pPr>
              <w:spacing w:line="340" w:lineRule="exact"/>
              <w:rPr>
                <w:rFonts w:hint="eastAsia"/>
                <w:sz w:val="24"/>
                <w:lang w:val="en-US" w:eastAsia="zh-CN"/>
              </w:rPr>
            </w:pPr>
            <w:r>
              <w:rPr>
                <w:rFonts w:hint="eastAsia"/>
                <w:sz w:val="24"/>
                <w:lang w:val="en-US" w:eastAsia="zh-CN"/>
              </w:rPr>
              <w:t xml:space="preserve">c) 确保管理体系要求融入组织的业务过程； </w:t>
            </w:r>
          </w:p>
          <w:p>
            <w:pPr>
              <w:spacing w:line="340" w:lineRule="exact"/>
              <w:rPr>
                <w:rFonts w:hint="eastAsia"/>
                <w:sz w:val="24"/>
                <w:lang w:val="en-US" w:eastAsia="zh-CN"/>
              </w:rPr>
            </w:pPr>
            <w:r>
              <w:rPr>
                <w:rFonts w:hint="eastAsia"/>
                <w:sz w:val="24"/>
                <w:lang w:val="en-US" w:eastAsia="zh-CN"/>
              </w:rPr>
              <w:t xml:space="preserve">d) 促进使用过程方法和基于风险的思维； </w:t>
            </w:r>
          </w:p>
          <w:p>
            <w:pPr>
              <w:spacing w:line="340" w:lineRule="exact"/>
              <w:rPr>
                <w:rFonts w:hint="eastAsia"/>
                <w:sz w:val="24"/>
                <w:lang w:val="en-US" w:eastAsia="zh-CN"/>
              </w:rPr>
            </w:pPr>
            <w:r>
              <w:rPr>
                <w:rFonts w:hint="eastAsia"/>
                <w:sz w:val="24"/>
                <w:lang w:val="en-US" w:eastAsia="zh-CN"/>
              </w:rPr>
              <w:t xml:space="preserve">e) 确保管理体系所需的资源是获得的； </w:t>
            </w:r>
          </w:p>
          <w:p>
            <w:pPr>
              <w:spacing w:line="340" w:lineRule="exact"/>
              <w:rPr>
                <w:rFonts w:hint="eastAsia"/>
                <w:sz w:val="24"/>
                <w:lang w:val="en-US" w:eastAsia="zh-CN"/>
              </w:rPr>
            </w:pPr>
            <w:r>
              <w:rPr>
                <w:rFonts w:hint="eastAsia"/>
                <w:sz w:val="24"/>
                <w:lang w:val="en-US" w:eastAsia="zh-CN"/>
              </w:rPr>
              <w:t>f) 沟通有效的管理和符合管理体系要求的重要性；</w:t>
            </w:r>
          </w:p>
          <w:p>
            <w:pPr>
              <w:spacing w:line="340" w:lineRule="exact"/>
              <w:rPr>
                <w:rFonts w:hint="eastAsia"/>
                <w:sz w:val="24"/>
                <w:lang w:val="en-US" w:eastAsia="zh-CN"/>
              </w:rPr>
            </w:pPr>
            <w:r>
              <w:rPr>
                <w:rFonts w:hint="eastAsia"/>
                <w:sz w:val="24"/>
                <w:lang w:val="en-US" w:eastAsia="zh-CN"/>
              </w:rPr>
              <w:t>g) 确保管理体系实现其预期结果；</w:t>
            </w:r>
          </w:p>
          <w:p>
            <w:pPr>
              <w:spacing w:line="340" w:lineRule="exact"/>
              <w:rPr>
                <w:rFonts w:hint="eastAsia"/>
                <w:sz w:val="24"/>
                <w:lang w:val="en-US" w:eastAsia="zh-CN"/>
              </w:rPr>
            </w:pPr>
            <w:r>
              <w:rPr>
                <w:rFonts w:hint="eastAsia"/>
                <w:sz w:val="24"/>
                <w:lang w:val="en-US" w:eastAsia="zh-CN"/>
              </w:rPr>
              <w:t>h) 促使员工积极参与、指导和支持他们为质量管理体系的有效性作出贡献；</w:t>
            </w:r>
          </w:p>
          <w:p>
            <w:pPr>
              <w:spacing w:line="340" w:lineRule="exact"/>
              <w:rPr>
                <w:rFonts w:hint="eastAsia"/>
                <w:sz w:val="24"/>
                <w:lang w:val="en-US" w:eastAsia="zh-CN"/>
              </w:rPr>
            </w:pPr>
            <w:r>
              <w:rPr>
                <w:rFonts w:hint="eastAsia"/>
                <w:sz w:val="24"/>
                <w:lang w:val="en-US" w:eastAsia="zh-CN"/>
              </w:rPr>
              <w:t>i) 推动改进；</w:t>
            </w:r>
          </w:p>
          <w:p>
            <w:pPr>
              <w:spacing w:line="340" w:lineRule="exact"/>
              <w:rPr>
                <w:rFonts w:hint="eastAsia"/>
                <w:sz w:val="24"/>
                <w:lang w:val="en-US" w:eastAsia="zh-CN"/>
              </w:rPr>
            </w:pPr>
            <w:r>
              <w:rPr>
                <w:rFonts w:hint="eastAsia"/>
                <w:sz w:val="24"/>
                <w:lang w:val="en-US" w:eastAsia="zh-CN"/>
              </w:rPr>
              <w:t>j) 支持其他相关管理者在其职责范围内发挥领导作用。</w:t>
            </w:r>
          </w:p>
          <w:p>
            <w:pPr>
              <w:spacing w:line="340" w:lineRule="exact"/>
              <w:rPr>
                <w:rFonts w:hint="eastAsia"/>
                <w:sz w:val="24"/>
                <w:lang w:val="en-US" w:eastAsia="zh-CN"/>
              </w:rPr>
            </w:pPr>
          </w:p>
          <w:p>
            <w:pPr>
              <w:spacing w:line="340" w:lineRule="exact"/>
              <w:rPr>
                <w:rFonts w:hint="eastAsia"/>
                <w:sz w:val="24"/>
                <w:lang w:val="en-US" w:eastAsia="zh-CN"/>
              </w:rPr>
            </w:pPr>
            <w:r>
              <w:rPr>
                <w:rFonts w:hint="eastAsia"/>
                <w:sz w:val="24"/>
                <w:lang w:val="en-US" w:eastAsia="zh-CN"/>
              </w:rPr>
              <w:t>在《管理手册》中5.1.2条款</w:t>
            </w:r>
          </w:p>
          <w:p>
            <w:pPr>
              <w:spacing w:line="340" w:lineRule="exact"/>
              <w:rPr>
                <w:rFonts w:hint="eastAsia"/>
                <w:sz w:val="24"/>
                <w:lang w:val="en-US" w:eastAsia="zh-CN"/>
              </w:rPr>
            </w:pPr>
            <w:r>
              <w:rPr>
                <w:rFonts w:hint="eastAsia"/>
                <w:sz w:val="24"/>
                <w:lang w:val="en-US" w:eastAsia="zh-CN"/>
              </w:rPr>
              <w:t xml:space="preserve">最高管理者通过以下方面，确保证实其以顾客为关注焦点的领导作用和承诺： </w:t>
            </w:r>
          </w:p>
          <w:p>
            <w:pPr>
              <w:spacing w:line="340" w:lineRule="exact"/>
              <w:rPr>
                <w:rFonts w:hint="eastAsia"/>
                <w:sz w:val="24"/>
                <w:lang w:val="en-US" w:eastAsia="zh-CN"/>
              </w:rPr>
            </w:pPr>
            <w:r>
              <w:rPr>
                <w:rFonts w:hint="eastAsia"/>
                <w:sz w:val="24"/>
                <w:lang w:val="en-US" w:eastAsia="zh-CN"/>
              </w:rPr>
              <w:t xml:space="preserve">a）确定、理解并持续地满足顾客要求以及适用的法律法规要求； </w:t>
            </w:r>
          </w:p>
          <w:p>
            <w:pPr>
              <w:spacing w:line="340" w:lineRule="exact"/>
              <w:rPr>
                <w:rFonts w:hint="eastAsia"/>
                <w:sz w:val="24"/>
                <w:lang w:val="en-US" w:eastAsia="zh-CN"/>
              </w:rPr>
            </w:pPr>
            <w:r>
              <w:rPr>
                <w:rFonts w:hint="eastAsia"/>
                <w:sz w:val="24"/>
                <w:lang w:val="en-US" w:eastAsia="zh-CN"/>
              </w:rPr>
              <w:t xml:space="preserve">b）确定和应对风险和机遇，这些风险和机遇可能影响产品和服务的合格，以及增强顾客满意能力； </w:t>
            </w:r>
          </w:p>
          <w:p>
            <w:pPr>
              <w:spacing w:line="340" w:lineRule="exact"/>
              <w:rPr>
                <w:rFonts w:hint="eastAsia"/>
                <w:sz w:val="24"/>
                <w:lang w:val="en-US" w:eastAsia="zh-CN"/>
              </w:rPr>
            </w:pPr>
            <w:r>
              <w:rPr>
                <w:rFonts w:hint="eastAsia"/>
                <w:sz w:val="24"/>
                <w:lang w:val="en-US" w:eastAsia="zh-CN"/>
              </w:rPr>
              <w:t xml:space="preserve">c）始终致力于增强顾客满意。 </w:t>
            </w:r>
          </w:p>
          <w:p>
            <w:pPr>
              <w:spacing w:line="340" w:lineRule="exact"/>
              <w:rPr>
                <w:rFonts w:hint="default"/>
                <w:sz w:val="24"/>
                <w:lang w:val="en-US" w:eastAsia="zh-CN"/>
              </w:rPr>
            </w:pPr>
            <w:r>
              <w:rPr>
                <w:rFonts w:hint="eastAsia"/>
                <w:sz w:val="24"/>
                <w:lang w:val="en-US" w:eastAsia="zh-CN"/>
              </w:rPr>
              <w:t>——由管理部负责收集评价法律法规，形成管理制度，各部门有效实施；销售部及时处置顾客投诉和建议，设定顾客满意度质量目标达到95%以上。</w:t>
            </w:r>
          </w:p>
          <w:p>
            <w:pPr>
              <w:rPr>
                <w:rFonts w:hint="eastAsia"/>
                <w:sz w:val="24"/>
                <w:lang w:val="en-US" w:eastAsia="zh-CN"/>
              </w:rPr>
            </w:pPr>
            <w:r>
              <w:rPr>
                <w:rFonts w:hint="eastAsia"/>
                <w:sz w:val="24"/>
                <w:lang w:val="en-US" w:eastAsia="zh-CN"/>
              </w:rPr>
              <w:t>销售部每年组织顾客走进行满意度调查，了解客户的需求和期望，并将之转化为公司的生产质量要求予以确定，交付符合顾客要求和法规要求的产品，以增强顾客满意。</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szCs w:val="21"/>
                <w:lang w:val="en-US" w:eastAsia="zh-CN"/>
              </w:rPr>
            </w:pPr>
            <w:r>
              <w:rPr>
                <w:rFonts w:hint="eastAsia"/>
                <w:szCs w:val="21"/>
                <w:lang w:val="en-US" w:eastAsia="zh-CN"/>
              </w:rPr>
              <w:t>质量方针</w:t>
            </w:r>
          </w:p>
        </w:tc>
        <w:tc>
          <w:tcPr>
            <w:tcW w:w="960" w:type="dxa"/>
          </w:tcPr>
          <w:p>
            <w:pPr>
              <w:rPr>
                <w:rFonts w:hint="eastAsia"/>
                <w:sz w:val="24"/>
                <w:lang w:val="en-US" w:eastAsia="zh-CN"/>
              </w:rPr>
            </w:pPr>
            <w:r>
              <w:rPr>
                <w:rFonts w:hint="eastAsia"/>
                <w:sz w:val="24"/>
                <w:lang w:val="en-US" w:eastAsia="zh-CN"/>
              </w:rPr>
              <w:t>Q5.2</w:t>
            </w:r>
          </w:p>
        </w:tc>
        <w:tc>
          <w:tcPr>
            <w:tcW w:w="10004" w:type="dxa"/>
          </w:tcPr>
          <w:p>
            <w:pPr>
              <w:spacing w:line="340" w:lineRule="exact"/>
              <w:rPr>
                <w:rFonts w:hint="eastAsia"/>
                <w:sz w:val="24"/>
                <w:lang w:val="en-US" w:eastAsia="zh-CN"/>
              </w:rPr>
            </w:pPr>
            <w:r>
              <w:rPr>
                <w:rFonts w:hint="eastAsia"/>
                <w:sz w:val="24"/>
                <w:lang w:val="en-US" w:eastAsia="zh-CN"/>
              </w:rPr>
              <w:t>在《管理手册》中质量方针和目标 章节中</w:t>
            </w:r>
          </w:p>
          <w:p>
            <w:pPr>
              <w:spacing w:line="340" w:lineRule="exact"/>
              <w:rPr>
                <w:rFonts w:hint="default"/>
                <w:sz w:val="24"/>
                <w:lang w:val="en-US" w:eastAsia="zh-CN"/>
              </w:rPr>
            </w:pPr>
            <w:r>
              <w:rPr>
                <w:rFonts w:hint="eastAsia"/>
                <w:sz w:val="24"/>
                <w:lang w:val="en-US" w:eastAsia="zh-CN"/>
              </w:rPr>
              <w:t>企业质量方针：“</w:t>
            </w:r>
            <w:r>
              <w:rPr>
                <w:rFonts w:hint="eastAsia"/>
                <w:b/>
                <w:szCs w:val="21"/>
              </w:rPr>
              <w:t>质量第一  持续改进  追求顾客满意</w:t>
            </w:r>
            <w:r>
              <w:rPr>
                <w:rFonts w:hint="eastAsia"/>
                <w:sz w:val="24"/>
                <w:lang w:val="en-US" w:eastAsia="zh-CN"/>
              </w:rPr>
              <w:t>”</w:t>
            </w:r>
          </w:p>
          <w:p>
            <w:pPr>
              <w:spacing w:line="340" w:lineRule="exact"/>
              <w:rPr>
                <w:rFonts w:hint="eastAsia"/>
                <w:sz w:val="24"/>
                <w:lang w:val="en-US" w:eastAsia="zh-CN"/>
              </w:rPr>
            </w:pPr>
            <w:r>
              <w:rPr>
                <w:rFonts w:hint="eastAsia"/>
                <w:sz w:val="24"/>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szCs w:val="21"/>
                <w:lang w:val="en-US" w:eastAsia="zh-CN"/>
              </w:rPr>
            </w:pPr>
            <w:r>
              <w:rPr>
                <w:rFonts w:hint="eastAsia"/>
                <w:szCs w:val="21"/>
                <w:lang w:val="en-US" w:eastAsia="zh-CN"/>
              </w:rPr>
              <w:t>组织的岗位职责和权限</w:t>
            </w:r>
          </w:p>
        </w:tc>
        <w:tc>
          <w:tcPr>
            <w:tcW w:w="960" w:type="dxa"/>
          </w:tcPr>
          <w:p>
            <w:pPr>
              <w:rPr>
                <w:rFonts w:hint="eastAsia"/>
                <w:sz w:val="24"/>
                <w:lang w:val="en-US" w:eastAsia="zh-CN"/>
              </w:rPr>
            </w:pPr>
            <w:r>
              <w:rPr>
                <w:rFonts w:hint="eastAsia"/>
                <w:sz w:val="24"/>
                <w:lang w:val="en-US" w:eastAsia="zh-CN"/>
              </w:rPr>
              <w:t>Q5.3</w:t>
            </w:r>
          </w:p>
        </w:tc>
        <w:tc>
          <w:tcPr>
            <w:tcW w:w="10004" w:type="dxa"/>
            <w:vAlign w:val="center"/>
          </w:tcPr>
          <w:p>
            <w:pPr>
              <w:rPr>
                <w:szCs w:val="21"/>
              </w:rPr>
            </w:pPr>
            <w:r>
              <w:rPr>
                <w:szCs w:val="21"/>
              </w:rPr>
              <w:sym w:font="Wingdings 2" w:char="F098"/>
            </w:r>
            <w:r>
              <w:rPr>
                <w:szCs w:val="21"/>
              </w:rPr>
              <w:t>公司管理体系覆盖的部门包括：</w:t>
            </w:r>
            <w:r>
              <w:rPr>
                <w:rFonts w:hint="eastAsia"/>
                <w:szCs w:val="21"/>
              </w:rPr>
              <w:t>管理层、管理部、生产部、技术质量部、销售部</w:t>
            </w:r>
            <w:r>
              <w:rPr>
                <w:szCs w:val="21"/>
              </w:rPr>
              <w:t>，部门划分尚可。</w:t>
            </w:r>
          </w:p>
          <w:p>
            <w:pPr>
              <w:rPr>
                <w:szCs w:val="21"/>
              </w:rPr>
            </w:pPr>
            <w:r>
              <w:rPr>
                <w:szCs w:val="21"/>
              </w:rPr>
              <w:sym w:font="Wingdings 2" w:char="F098"/>
            </w:r>
            <w:r>
              <w:rPr>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sz w:val="24"/>
                <w:lang w:val="en-US" w:eastAsia="zh-CN"/>
              </w:rPr>
            </w:pPr>
            <w:r>
              <w:rPr>
                <w:rFonts w:hint="eastAsia"/>
                <w:szCs w:val="21"/>
              </w:rPr>
              <w:sym w:font="Wingdings 2" w:char="F098"/>
            </w:r>
            <w:r>
              <w:rPr>
                <w:szCs w:val="21"/>
              </w:rPr>
              <w:t>查相关制度包括管理部管理制度、销售服务管理制度等，基本明确了各级人员的职责等。确认公司目前人力资源、基础设施、技术人员、财力、信息资源均能保证。</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szCs w:val="21"/>
              </w:rPr>
            </w:pPr>
            <w:r>
              <w:rPr>
                <w:rFonts w:hint="eastAsia" w:ascii="宋体" w:hAnsi="宋体"/>
                <w:szCs w:val="21"/>
              </w:rPr>
              <w:t>应对风险和机遇的措施</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1</w:t>
            </w:r>
          </w:p>
        </w:tc>
        <w:tc>
          <w:tcPr>
            <w:tcW w:w="10004" w:type="dxa"/>
          </w:tcPr>
          <w:p>
            <w:pPr>
              <w:spacing w:line="340" w:lineRule="exact"/>
              <w:rPr>
                <w:rFonts w:ascii="宋体" w:hAnsi="宋体"/>
                <w:color w:val="auto"/>
                <w:sz w:val="24"/>
              </w:rPr>
            </w:pPr>
            <w:r>
              <w:rPr>
                <w:rFonts w:hint="eastAsia" w:ascii="宋体" w:hAnsi="宋体"/>
                <w:color w:val="auto"/>
                <w:sz w:val="24"/>
              </w:rPr>
              <w:t>公司在策划质量管理体系时，为确保质量管理体系能够实现其预期结果、增强有利影响避免或减少不利影响并实现改进，</w:t>
            </w:r>
            <w:r>
              <w:rPr>
                <w:rFonts w:hint="eastAsia"/>
                <w:color w:val="auto"/>
                <w:sz w:val="24"/>
              </w:rPr>
              <w:t>管理者代表考</w:t>
            </w:r>
            <w:r>
              <w:rPr>
                <w:rFonts w:hint="eastAsia" w:ascii="宋体" w:hAnsi="宋体"/>
                <w:color w:val="auto"/>
                <w:sz w:val="24"/>
              </w:rPr>
              <w:t>虑公司环境有关的外部和内部因素、相关方的需求和期望，通过推动SWOT分析方法来确定应对风险和机遇措施。</w:t>
            </w:r>
          </w:p>
          <w:p>
            <w:pPr>
              <w:spacing w:line="340" w:lineRule="exact"/>
              <w:rPr>
                <w:rFonts w:ascii="宋体" w:hAnsi="宋体"/>
                <w:color w:val="auto"/>
                <w:sz w:val="24"/>
              </w:rPr>
            </w:pPr>
            <w:r>
              <w:rPr>
                <w:rFonts w:hint="eastAsia" w:ascii="宋体" w:hAnsi="宋体"/>
                <w:color w:val="auto"/>
                <w:sz w:val="24"/>
              </w:rPr>
              <w:t>提供公司质量管理体</w:t>
            </w:r>
            <w:r>
              <w:rPr>
                <w:rFonts w:hint="eastAsia" w:ascii="宋体" w:hAnsi="宋体"/>
                <w:color w:val="auto"/>
                <w:sz w:val="24"/>
                <w:lang w:val="en-US" w:eastAsia="zh-CN"/>
              </w:rPr>
              <w:t>《过程风险与机遇评价与应对策划表》</w:t>
            </w:r>
            <w:r>
              <w:rPr>
                <w:rFonts w:hint="eastAsia" w:ascii="宋体" w:hAnsi="宋体"/>
                <w:color w:val="auto"/>
                <w:sz w:val="24"/>
              </w:rPr>
              <w:t>，对</w:t>
            </w:r>
            <w:r>
              <w:rPr>
                <w:rFonts w:hint="eastAsia" w:ascii="宋体" w:hAnsi="宋体"/>
                <w:color w:val="auto"/>
                <w:sz w:val="24"/>
                <w:lang w:val="en-US" w:eastAsia="zh-CN"/>
              </w:rPr>
              <w:t>人力资源控制</w:t>
            </w:r>
            <w:r>
              <w:rPr>
                <w:rFonts w:hint="eastAsia" w:ascii="宋体" w:hAnsi="宋体"/>
                <w:color w:val="auto"/>
                <w:sz w:val="24"/>
              </w:rPr>
              <w:t>、</w:t>
            </w:r>
            <w:r>
              <w:rPr>
                <w:rFonts w:hint="eastAsia" w:ascii="宋体" w:hAnsi="宋体"/>
                <w:color w:val="auto"/>
                <w:sz w:val="24"/>
                <w:lang w:val="en-US" w:eastAsia="zh-CN"/>
              </w:rPr>
              <w:t>检验过程</w:t>
            </w:r>
            <w:r>
              <w:rPr>
                <w:rFonts w:hint="eastAsia" w:ascii="宋体" w:hAnsi="宋体"/>
                <w:color w:val="auto"/>
                <w:sz w:val="24"/>
              </w:rPr>
              <w:t>、原材料的采购风险、生产过程风险、产品运输风险等进行了措施应对策划。</w:t>
            </w:r>
          </w:p>
          <w:p>
            <w:pPr>
              <w:spacing w:line="340" w:lineRule="exact"/>
              <w:rPr>
                <w:rFonts w:ascii="宋体" w:hAnsi="宋体"/>
                <w:color w:val="auto"/>
                <w:sz w:val="24"/>
              </w:rPr>
            </w:pPr>
            <w:r>
              <w:rPr>
                <w:rFonts w:hint="eastAsia" w:ascii="宋体" w:hAnsi="宋体"/>
                <w:color w:val="auto"/>
                <w:sz w:val="24"/>
              </w:rPr>
              <w:t>如：人员缺少教育训练，操作技能不够--不良品率高、影响交货期--对人员进行管理--制定相应管理制度--对人员进行</w:t>
            </w:r>
            <w:r>
              <w:rPr>
                <w:rFonts w:hint="eastAsia" w:ascii="宋体" w:hAnsi="宋体"/>
                <w:color w:val="auto"/>
                <w:sz w:val="24"/>
                <w:lang w:val="en-US" w:eastAsia="zh-CN"/>
              </w:rPr>
              <w:t>培训、技能评定</w:t>
            </w:r>
            <w:r>
              <w:rPr>
                <w:rFonts w:hint="eastAsia" w:ascii="宋体" w:hAnsi="宋体"/>
                <w:color w:val="auto"/>
                <w:sz w:val="24"/>
              </w:rPr>
              <w:t>等</w:t>
            </w:r>
          </w:p>
          <w:p>
            <w:pPr>
              <w:rPr>
                <w:sz w:val="24"/>
              </w:rPr>
            </w:pPr>
            <w:r>
              <w:rPr>
                <w:rFonts w:hint="eastAsia" w:ascii="宋体" w:hAnsi="宋体"/>
                <w:color w:val="auto"/>
                <w:sz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vAlign w:val="center"/>
          </w:tcPr>
          <w:p>
            <w:pPr>
              <w:spacing w:line="340" w:lineRule="exact"/>
              <w:rPr>
                <w:rFonts w:hint="eastAsia" w:ascii="宋体" w:hAnsi="宋体"/>
                <w:color w:val="auto"/>
                <w:sz w:val="24"/>
              </w:rPr>
            </w:pPr>
            <w:r>
              <w:rPr>
                <w:rFonts w:hint="eastAsia" w:ascii="宋体" w:hAnsi="宋体"/>
                <w:color w:val="auto"/>
                <w:sz w:val="24"/>
              </w:rPr>
              <w:sym w:font="Wingdings 2" w:char="F098"/>
            </w:r>
            <w:r>
              <w:rPr>
                <w:rFonts w:hint="eastAsia" w:ascii="宋体" w:hAnsi="宋体"/>
                <w:color w:val="auto"/>
                <w:sz w:val="24"/>
              </w:rPr>
              <w:t>质 量 目 标：                          考核情况</w:t>
            </w:r>
          </w:p>
          <w:p>
            <w:pPr>
              <w:spacing w:line="340" w:lineRule="exact"/>
              <w:rPr>
                <w:rFonts w:hint="eastAsia" w:ascii="宋体" w:hAnsi="宋体"/>
                <w:color w:val="auto"/>
                <w:sz w:val="24"/>
              </w:rPr>
            </w:pPr>
            <w:r>
              <w:rPr>
                <w:rFonts w:hint="eastAsia" w:ascii="宋体" w:hAnsi="宋体"/>
                <w:color w:val="auto"/>
                <w:sz w:val="24"/>
              </w:rPr>
              <w:t>a) 成品检验合格率大于96%；                   98%</w:t>
            </w:r>
          </w:p>
          <w:p>
            <w:pPr>
              <w:spacing w:line="340" w:lineRule="exact"/>
              <w:rPr>
                <w:rFonts w:hint="eastAsia" w:ascii="宋体" w:hAnsi="宋体"/>
                <w:color w:val="auto"/>
                <w:sz w:val="24"/>
              </w:rPr>
            </w:pPr>
            <w:r>
              <w:rPr>
                <w:rFonts w:hint="eastAsia" w:ascii="宋体" w:hAnsi="宋体"/>
                <w:color w:val="auto"/>
                <w:sz w:val="24"/>
              </w:rPr>
              <w:t>b) 顾客平均满意率大于95%。                   97%</w:t>
            </w:r>
          </w:p>
          <w:p>
            <w:pPr>
              <w:spacing w:line="340" w:lineRule="exact"/>
              <w:rPr>
                <w:rFonts w:hint="eastAsia" w:ascii="宋体" w:hAnsi="宋体"/>
                <w:color w:val="auto"/>
                <w:sz w:val="24"/>
              </w:rPr>
            </w:pPr>
            <w:r>
              <w:rPr>
                <w:rFonts w:hint="eastAsia" w:ascii="宋体" w:hAnsi="宋体"/>
                <w:color w:val="auto"/>
                <w:sz w:val="24"/>
              </w:rPr>
              <w:sym w:font="Wingdings 2" w:char="F098"/>
            </w:r>
            <w:r>
              <w:rPr>
                <w:rFonts w:hint="eastAsia" w:ascii="宋体" w:hAnsi="宋体"/>
                <w:color w:val="auto"/>
                <w:sz w:val="24"/>
              </w:rPr>
              <w:t>质量目标衡量办法：</w:t>
            </w:r>
          </w:p>
          <w:p>
            <w:pPr>
              <w:spacing w:line="340" w:lineRule="exact"/>
              <w:rPr>
                <w:rFonts w:hint="eastAsia" w:ascii="宋体" w:hAnsi="宋体"/>
                <w:color w:val="auto"/>
                <w:sz w:val="24"/>
              </w:rPr>
            </w:pPr>
            <w:r>
              <w:rPr>
                <w:rFonts w:hint="eastAsia" w:ascii="宋体" w:hAnsi="宋体"/>
                <w:color w:val="auto"/>
                <w:sz w:val="24"/>
              </w:rPr>
              <w:t>a)以产品成品质量检验统计来衡量；</w:t>
            </w:r>
          </w:p>
          <w:p>
            <w:pPr>
              <w:spacing w:line="340" w:lineRule="exact"/>
              <w:rPr>
                <w:rFonts w:hint="eastAsia" w:ascii="宋体" w:hAnsi="宋体"/>
                <w:color w:val="auto"/>
                <w:sz w:val="24"/>
              </w:rPr>
            </w:pPr>
            <w:r>
              <w:rPr>
                <w:rFonts w:hint="eastAsia" w:ascii="宋体" w:hAnsi="宋体"/>
                <w:color w:val="auto"/>
                <w:sz w:val="24"/>
              </w:rPr>
              <w:t>b)以顾客满意度调查报告统计来衡量。</w:t>
            </w:r>
          </w:p>
          <w:p>
            <w:pPr>
              <w:spacing w:line="340" w:lineRule="exact"/>
              <w:rPr>
                <w:rFonts w:hint="default" w:ascii="宋体" w:hAnsi="宋体"/>
                <w:color w:val="auto"/>
                <w:sz w:val="24"/>
                <w:lang w:val="en-US" w:eastAsia="zh-CN"/>
              </w:rPr>
            </w:pPr>
            <w:r>
              <w:rPr>
                <w:rFonts w:hint="eastAsia" w:ascii="宋体" w:hAnsi="宋体"/>
                <w:color w:val="auto"/>
                <w:sz w:val="24"/>
              </w:rPr>
              <w:sym w:font="Wingdings 2" w:char="F098"/>
            </w:r>
            <w:r>
              <w:rPr>
                <w:rFonts w:hint="eastAsia" w:ascii="宋体" w:hAnsi="宋体"/>
                <w:color w:val="auto"/>
                <w:sz w:val="24"/>
              </w:rPr>
              <w:t>对目标进行了分解，建立了各部门的分目标，每季度末对目标进行考核，查看“202</w:t>
            </w:r>
            <w:r>
              <w:rPr>
                <w:rFonts w:hint="eastAsia" w:ascii="宋体" w:hAnsi="宋体"/>
                <w:color w:val="auto"/>
                <w:sz w:val="24"/>
                <w:lang w:val="en-US" w:eastAsia="zh-CN"/>
              </w:rPr>
              <w:t>1</w:t>
            </w:r>
            <w:r>
              <w:rPr>
                <w:rFonts w:hint="eastAsia" w:ascii="宋体" w:hAnsi="宋体"/>
                <w:color w:val="auto"/>
                <w:sz w:val="24"/>
              </w:rPr>
              <w:t>年</w:t>
            </w:r>
            <w:r>
              <w:rPr>
                <w:rFonts w:hint="eastAsia" w:ascii="宋体" w:hAnsi="宋体"/>
                <w:color w:val="auto"/>
                <w:sz w:val="24"/>
                <w:lang w:val="en-US" w:eastAsia="zh-CN"/>
              </w:rPr>
              <w:t>1-5月</w:t>
            </w:r>
            <w:r>
              <w:rPr>
                <w:rFonts w:hint="eastAsia" w:ascii="宋体" w:hAnsi="宋体"/>
                <w:color w:val="auto"/>
                <w:sz w:val="24"/>
              </w:rPr>
              <w:t>目标完成情况统计表”，目标已基本实现。（见各部门考核结果）。</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变更策划</w:t>
            </w:r>
          </w:p>
        </w:tc>
        <w:tc>
          <w:tcPr>
            <w:tcW w:w="960" w:type="dxa"/>
          </w:tcPr>
          <w:p>
            <w:pPr>
              <w:rPr>
                <w:rFonts w:hint="eastAsia" w:ascii="宋体" w:hAnsi="宋体" w:eastAsia="宋体"/>
                <w:szCs w:val="21"/>
                <w:lang w:eastAsia="zh-CN"/>
              </w:rPr>
            </w:pPr>
            <w:r>
              <w:rPr>
                <w:rFonts w:ascii="宋体" w:hAnsi="宋体"/>
                <w:szCs w:val="21"/>
              </w:rPr>
              <w:t>Q</w:t>
            </w:r>
            <w:r>
              <w:rPr>
                <w:rFonts w:hint="eastAsia" w:ascii="宋体" w:hAnsi="宋体"/>
                <w:szCs w:val="21"/>
              </w:rPr>
              <w:t>6.</w:t>
            </w:r>
            <w:r>
              <w:rPr>
                <w:rFonts w:hint="eastAsia" w:ascii="宋体" w:hAnsi="宋体"/>
                <w:szCs w:val="21"/>
                <w:lang w:val="en-US" w:eastAsia="zh-CN"/>
              </w:rPr>
              <w:t>3</w:t>
            </w:r>
          </w:p>
        </w:tc>
        <w:tc>
          <w:tcPr>
            <w:tcW w:w="10004" w:type="dxa"/>
          </w:tcPr>
          <w:p>
            <w:pPr>
              <w:spacing w:line="340" w:lineRule="exact"/>
              <w:rPr>
                <w:rFonts w:hint="default" w:ascii="宋体" w:hAnsi="宋体"/>
                <w:color w:val="auto"/>
                <w:sz w:val="24"/>
                <w:lang w:val="en-US" w:eastAsia="zh-CN"/>
              </w:rPr>
            </w:pPr>
            <w:r>
              <w:rPr>
                <w:rFonts w:hint="eastAsia" w:ascii="宋体" w:hAnsi="宋体"/>
                <w:color w:val="auto"/>
                <w:sz w:val="24"/>
                <w:lang w:val="en-US" w:eastAsia="zh-CN"/>
              </w:rPr>
              <w:t>在《管理手册》中6.3条款 有变更策划要求，目前公司体系于2019年建立，尚未发生变更。</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160" w:type="dxa"/>
          </w:tcPr>
          <w:p>
            <w:pPr>
              <w:rPr>
                <w:rFonts w:hint="eastAsia" w:ascii="宋体" w:hAnsi="宋体"/>
                <w:szCs w:val="21"/>
                <w:lang w:val="en-US" w:eastAsia="zh-CN"/>
              </w:rPr>
            </w:pPr>
          </w:p>
          <w:p>
            <w:pPr>
              <w:rPr>
                <w:rFonts w:hint="eastAsia" w:ascii="宋体" w:hAnsi="宋体"/>
                <w:szCs w:val="21"/>
                <w:lang w:val="en-US" w:eastAsia="zh-CN"/>
              </w:rPr>
            </w:pPr>
          </w:p>
          <w:p>
            <w:pPr>
              <w:rPr>
                <w:rFonts w:hint="default" w:ascii="宋体" w:hAnsi="宋体" w:eastAsia="宋体"/>
                <w:szCs w:val="21"/>
                <w:lang w:val="en-US" w:eastAsia="zh-CN"/>
              </w:rPr>
            </w:pPr>
            <w:r>
              <w:rPr>
                <w:rFonts w:hint="eastAsia" w:ascii="宋体" w:hAnsi="宋体"/>
                <w:szCs w:val="21"/>
                <w:lang w:val="en-US" w:eastAsia="zh-CN"/>
              </w:rPr>
              <w:t>资源配置</w:t>
            </w:r>
          </w:p>
        </w:tc>
        <w:tc>
          <w:tcPr>
            <w:tcW w:w="960" w:type="dxa"/>
          </w:tcPr>
          <w:p>
            <w:pPr>
              <w:spacing w:before="120" w:line="340" w:lineRule="exact"/>
              <w:rPr>
                <w:rFonts w:ascii="宋体" w:hAnsi="宋体"/>
                <w:szCs w:val="21"/>
              </w:rPr>
            </w:pPr>
          </w:p>
          <w:p>
            <w:pPr>
              <w:spacing w:before="120" w:line="340" w:lineRule="exact"/>
              <w:rPr>
                <w:rFonts w:hint="eastAsia" w:ascii="宋体" w:hAnsi="宋体" w:eastAsia="宋体"/>
                <w:szCs w:val="21"/>
                <w:lang w:eastAsia="zh-CN"/>
              </w:rPr>
            </w:pPr>
            <w:r>
              <w:rPr>
                <w:rFonts w:ascii="宋体" w:hAnsi="宋体"/>
                <w:szCs w:val="21"/>
              </w:rPr>
              <w:t>Q</w:t>
            </w:r>
            <w:r>
              <w:rPr>
                <w:rFonts w:hint="eastAsia" w:ascii="宋体" w:hAnsi="宋体"/>
                <w:szCs w:val="21"/>
              </w:rPr>
              <w:t>7.1.</w:t>
            </w:r>
            <w:r>
              <w:rPr>
                <w:rFonts w:hint="eastAsia" w:ascii="宋体" w:hAnsi="宋体"/>
                <w:szCs w:val="21"/>
                <w:lang w:val="en-US" w:eastAsia="zh-CN"/>
              </w:rPr>
              <w:t>1</w:t>
            </w:r>
          </w:p>
          <w:p>
            <w:pPr>
              <w:rPr>
                <w:rFonts w:ascii="宋体" w:hAnsi="宋体"/>
                <w:szCs w:val="21"/>
              </w:rPr>
            </w:pPr>
          </w:p>
        </w:tc>
        <w:tc>
          <w:tcPr>
            <w:tcW w:w="10004" w:type="dxa"/>
            <w:vAlign w:val="center"/>
          </w:tcPr>
          <w:p>
            <w:pPr>
              <w:spacing w:line="340" w:lineRule="exact"/>
              <w:rPr>
                <w:rFonts w:hint="eastAsia" w:ascii="宋体" w:hAnsi="宋体"/>
                <w:color w:val="auto"/>
                <w:sz w:val="24"/>
              </w:rPr>
            </w:pPr>
            <w:r>
              <w:rPr>
                <w:rFonts w:hint="eastAsia" w:ascii="宋体" w:hAnsi="宋体"/>
                <w:color w:val="auto"/>
                <w:sz w:val="24"/>
              </w:rPr>
              <w:t>公司为了实施管理体系并持续改进其有效性，增强顾客满意度，提供了各方面的资源保证。</w:t>
            </w:r>
          </w:p>
          <w:p>
            <w:pPr>
              <w:spacing w:line="340" w:lineRule="exact"/>
              <w:rPr>
                <w:rFonts w:hint="eastAsia" w:ascii="宋体" w:hAnsi="宋体"/>
                <w:color w:val="auto"/>
                <w:sz w:val="24"/>
              </w:rPr>
            </w:pPr>
            <w:r>
              <w:rPr>
                <w:rFonts w:hint="eastAsia" w:ascii="宋体" w:hAnsi="宋体"/>
                <w:color w:val="auto"/>
                <w:sz w:val="24"/>
              </w:rPr>
              <w:t>a. 人力资源：职工队伍相对稳定，均在企业工作5年以上，实践经验丰富；</w:t>
            </w:r>
          </w:p>
          <w:p>
            <w:pPr>
              <w:spacing w:line="340" w:lineRule="exact"/>
              <w:rPr>
                <w:rFonts w:hint="eastAsia" w:ascii="宋体" w:hAnsi="宋体"/>
                <w:color w:val="auto"/>
                <w:sz w:val="24"/>
              </w:rPr>
            </w:pPr>
            <w:r>
              <w:rPr>
                <w:rFonts w:hint="eastAsia" w:ascii="宋体" w:hAnsi="宋体"/>
                <w:color w:val="auto"/>
                <w:sz w:val="24"/>
              </w:rPr>
              <w:t xml:space="preserve">b. 基础设施：办公室、车间，主要设施：喷房、喷池、烘道线、烘箱、静电枪、空压机等 </w:t>
            </w:r>
          </w:p>
          <w:p>
            <w:pPr>
              <w:spacing w:line="340" w:lineRule="exact"/>
              <w:rPr>
                <w:rFonts w:hint="eastAsia" w:ascii="宋体" w:hAnsi="宋体"/>
                <w:color w:val="auto"/>
                <w:sz w:val="24"/>
              </w:rPr>
            </w:pPr>
            <w:r>
              <w:rPr>
                <w:rFonts w:hint="eastAsia" w:ascii="宋体" w:hAnsi="宋体"/>
                <w:color w:val="auto"/>
                <w:sz w:val="24"/>
              </w:rPr>
              <w:t>c. 工作环境：办公区域面积150平米；车间20000平米，仓库面积5000平米布局合理，场所卫生干净整洁，工作环境良好（现场审核关注）</w:t>
            </w:r>
          </w:p>
          <w:p>
            <w:pPr>
              <w:spacing w:line="340" w:lineRule="exact"/>
              <w:rPr>
                <w:rFonts w:hint="eastAsia" w:ascii="宋体" w:hAnsi="宋体"/>
                <w:color w:val="auto"/>
                <w:sz w:val="24"/>
              </w:rPr>
            </w:pPr>
            <w:r>
              <w:rPr>
                <w:rFonts w:hint="eastAsia" w:ascii="宋体" w:hAnsi="宋体"/>
                <w:color w:val="auto"/>
                <w:sz w:val="24"/>
              </w:rPr>
              <w:t>d.监视和测量设施：游标卡尺（0-150）mm</w:t>
            </w:r>
            <w:r>
              <w:rPr>
                <w:rFonts w:hint="eastAsia" w:ascii="宋体" w:hAnsi="宋体"/>
                <w:color w:val="FF0000"/>
                <w:sz w:val="24"/>
              </w:rPr>
              <w:t>。</w:t>
            </w:r>
          </w:p>
          <w:p>
            <w:pPr>
              <w:spacing w:line="340" w:lineRule="exact"/>
              <w:rPr>
                <w:rFonts w:hint="eastAsia" w:ascii="宋体" w:hAnsi="宋体"/>
                <w:color w:val="auto"/>
                <w:sz w:val="24"/>
              </w:rPr>
            </w:pPr>
            <w:r>
              <w:rPr>
                <w:rFonts w:hint="eastAsia" w:ascii="宋体" w:hAnsi="宋体"/>
                <w:color w:val="auto"/>
                <w:sz w:val="24"/>
              </w:rPr>
              <w:t>e. 资金支持：注册资金1000万元。</w:t>
            </w:r>
          </w:p>
          <w:p>
            <w:pPr>
              <w:spacing w:line="340" w:lineRule="exact"/>
              <w:rPr>
                <w:rFonts w:hint="default" w:ascii="宋体" w:hAnsi="宋体"/>
                <w:color w:val="auto"/>
                <w:sz w:val="24"/>
                <w:lang w:val="en-US" w:eastAsia="zh-CN"/>
              </w:rPr>
            </w:pPr>
            <w:r>
              <w:rPr>
                <w:rFonts w:hint="eastAsia" w:ascii="宋体" w:hAnsi="宋体"/>
                <w:color w:val="auto"/>
                <w:sz w:val="24"/>
              </w:rPr>
              <w:t>能够满足产品生产及服务需要。</w:t>
            </w:r>
          </w:p>
        </w:tc>
        <w:tc>
          <w:tcPr>
            <w:tcW w:w="1585" w:type="dxa"/>
          </w:tcPr>
          <w:p>
            <w:pPr>
              <w:rPr>
                <w:sz w:val="24"/>
              </w:rPr>
            </w:pPr>
          </w:p>
          <w:p>
            <w:pPr>
              <w:rPr>
                <w:sz w:val="24"/>
              </w:rPr>
            </w:pPr>
            <w:r>
              <w:rPr>
                <w:rFonts w:hint="eastAsia"/>
                <w:sz w:val="24"/>
                <w:lang w:val="en-US" w:eastAsia="zh-CN"/>
              </w:rPr>
              <w:t>符合</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40" w:lineRule="exact"/>
              <w:rPr>
                <w:rFonts w:ascii="宋体" w:hAnsi="宋体"/>
                <w:sz w:val="24"/>
              </w:rPr>
            </w:pPr>
            <w:r>
              <w:rPr>
                <w:rFonts w:hint="eastAsia" w:ascii="宋体" w:hAnsi="宋体"/>
                <w:sz w:val="24"/>
                <w:lang w:val="en-US" w:eastAsia="zh-CN"/>
              </w:rPr>
              <w:t>编辑了《沟通控制程序》，</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1"/>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ascii="宋体" w:hAnsi="宋体"/>
                <w:szCs w:val="21"/>
              </w:rPr>
            </w:pPr>
            <w:r>
              <w:rPr>
                <w:rFonts w:hint="eastAsia" w:ascii="宋体" w:hAnsi="宋体"/>
                <w:szCs w:val="21"/>
              </w:rPr>
              <w:t>成文信息</w:t>
            </w:r>
          </w:p>
          <w:p>
            <w:pPr>
              <w:rPr>
                <w:rFonts w:ascii="宋体" w:hAnsi="宋体"/>
                <w:szCs w:val="21"/>
              </w:rPr>
            </w:pP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rPr>
              <w:t>Q</w:t>
            </w:r>
            <w:r>
              <w:rPr>
                <w:rFonts w:ascii="宋体" w:hAnsi="宋体"/>
                <w:szCs w:val="21"/>
              </w:rPr>
              <w:t>7.5</w:t>
            </w:r>
            <w:r>
              <w:rPr>
                <w:rFonts w:hint="eastAsia" w:ascii="宋体" w:hAnsi="宋体"/>
                <w:szCs w:val="21"/>
                <w:lang w:val="en-US" w:eastAsia="zh-CN"/>
              </w:rPr>
              <w:t>.1</w:t>
            </w:r>
          </w:p>
          <w:p>
            <w:pPr>
              <w:spacing w:before="120" w:line="340" w:lineRule="exact"/>
              <w:rPr>
                <w:rFonts w:ascii="宋体" w:hAnsi="宋体"/>
                <w:szCs w:val="21"/>
              </w:rPr>
            </w:pPr>
          </w:p>
        </w:tc>
        <w:tc>
          <w:tcPr>
            <w:tcW w:w="10004" w:type="dxa"/>
          </w:tcPr>
          <w:p>
            <w:pPr>
              <w:pStyle w:val="11"/>
              <w:spacing w:line="340" w:lineRule="exact"/>
              <w:rPr>
                <w:rFonts w:ascii="宋体" w:hAnsi="宋体"/>
                <w:color w:val="000000"/>
                <w:sz w:val="24"/>
              </w:rPr>
            </w:pPr>
            <w:r>
              <w:rPr>
                <w:rFonts w:hint="eastAsia" w:ascii="宋体" w:hAnsi="宋体"/>
                <w:color w:val="000000"/>
                <w:sz w:val="24"/>
              </w:rPr>
              <w:t>编制了《文件</w:t>
            </w:r>
            <w:r>
              <w:rPr>
                <w:rFonts w:hint="eastAsia" w:ascii="宋体" w:hAnsi="宋体"/>
                <w:color w:val="000000"/>
                <w:sz w:val="24"/>
                <w:lang w:val="en-US" w:eastAsia="zh-CN"/>
              </w:rPr>
              <w:t>和记录</w:t>
            </w:r>
            <w:r>
              <w:rPr>
                <w:rFonts w:hint="eastAsia" w:ascii="宋体" w:hAnsi="宋体"/>
                <w:color w:val="000000"/>
                <w:sz w:val="24"/>
              </w:rPr>
              <w:t>控制程序》；程序规定了文件的编制、批准、发放、标识、修订、外来文件管理等做出了规定。内容完整，适宜。</w:t>
            </w:r>
          </w:p>
          <w:p>
            <w:pPr>
              <w:pStyle w:val="11"/>
              <w:spacing w:line="340" w:lineRule="exact"/>
              <w:rPr>
                <w:rFonts w:ascii="宋体" w:hAnsi="宋体"/>
                <w:color w:val="000000"/>
                <w:sz w:val="24"/>
              </w:rPr>
            </w:pPr>
            <w:r>
              <w:rPr>
                <w:rFonts w:hint="eastAsia" w:ascii="宋体" w:hAnsi="宋体"/>
                <w:color w:val="000000"/>
                <w:sz w:val="24"/>
              </w:rPr>
              <w:t>查</w:t>
            </w:r>
            <w:r>
              <w:rPr>
                <w:rFonts w:hint="eastAsia" w:ascii="宋体" w:hAnsi="宋体"/>
                <w:color w:val="000000"/>
                <w:sz w:val="24"/>
                <w:lang w:val="en-US" w:eastAsia="zh-CN"/>
              </w:rPr>
              <w:t>质量管理手册</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lang w:eastAsia="zh-CN"/>
              </w:rPr>
              <w:t>Q/SY-A-2019</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1"/>
              <w:spacing w:line="340" w:lineRule="exact"/>
              <w:rPr>
                <w:rFonts w:hint="eastAsia" w:ascii="宋体" w:hAnsi="宋体"/>
                <w:color w:val="000000"/>
                <w:sz w:val="24"/>
              </w:rPr>
            </w:pPr>
            <w:r>
              <w:rPr>
                <w:rFonts w:hint="eastAsia" w:ascii="宋体" w:hAnsi="宋体"/>
                <w:color w:val="000000"/>
                <w:sz w:val="24"/>
              </w:rPr>
              <w:t>程序文件（</w:t>
            </w:r>
            <w:r>
              <w:rPr>
                <w:rFonts w:hint="eastAsia" w:ascii="宋体" w:hAnsi="宋体"/>
                <w:color w:val="000000"/>
                <w:sz w:val="24"/>
                <w:lang w:val="en-US" w:eastAsia="zh-CN"/>
              </w:rPr>
              <w:t>18</w:t>
            </w:r>
            <w:r>
              <w:rPr>
                <w:rFonts w:hint="eastAsia" w:ascii="宋体" w:hAnsi="宋体"/>
                <w:color w:val="000000"/>
                <w:sz w:val="24"/>
              </w:rPr>
              <w:t xml:space="preserve">个程序）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QMS/CX</w:t>
            </w: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1"/>
              <w:spacing w:line="340" w:lineRule="exact"/>
              <w:rPr>
                <w:rFonts w:hint="default" w:ascii="宋体" w:hAnsi="宋体"/>
                <w:color w:val="000000"/>
                <w:sz w:val="24"/>
                <w:lang w:val="en-US" w:eastAsia="zh-CN"/>
              </w:rPr>
            </w:pPr>
            <w:r>
              <w:rPr>
                <w:rFonts w:hint="eastAsia" w:ascii="宋体"/>
                <w:kern w:val="0"/>
                <w:sz w:val="24"/>
              </w:rPr>
              <w:t>文件控制程序</w:t>
            </w:r>
            <w:r>
              <w:rPr>
                <w:rFonts w:hint="eastAsia" w:ascii="宋体" w:hAnsi="宋体"/>
                <w:color w:val="000000"/>
                <w:sz w:val="24"/>
                <w:lang w:val="en-US" w:eastAsia="zh-CN"/>
              </w:rPr>
              <w:t xml:space="preserve">                                          </w:t>
            </w:r>
            <w:r>
              <w:rPr>
                <w:rFonts w:ascii="Arial" w:hAnsi="Arial" w:cs="Arial"/>
                <w:kern w:val="0"/>
                <w:sz w:val="24"/>
              </w:rPr>
              <w:t>QMS/CX.01</w:t>
            </w:r>
            <w:r>
              <w:rPr>
                <w:rFonts w:hint="eastAsia" w:ascii="Arial" w:hAnsi="Arial" w:cs="Arial"/>
                <w:kern w:val="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1"/>
              <w:spacing w:line="340" w:lineRule="exact"/>
              <w:rPr>
                <w:rFonts w:hint="eastAsia" w:ascii="宋体" w:hAnsi="宋体"/>
                <w:color w:val="000000"/>
                <w:sz w:val="24"/>
              </w:rPr>
            </w:pPr>
            <w:r>
              <w:rPr>
                <w:rFonts w:hint="eastAsia" w:ascii="宋体" w:hAnsi="宋体"/>
                <w:color w:val="000000"/>
                <w:sz w:val="24"/>
                <w:lang w:val="en-US" w:eastAsia="zh-CN"/>
              </w:rPr>
              <w:t xml:space="preserve">外部提供的过程、产品和服务控制程序                    </w:t>
            </w:r>
            <w:r>
              <w:rPr>
                <w:rFonts w:ascii="Arial" w:hAnsi="Arial" w:cs="Arial"/>
                <w:kern w:val="0"/>
                <w:sz w:val="24"/>
              </w:rPr>
              <w:t>QMS/CX.09</w:t>
            </w:r>
            <w:r>
              <w:rPr>
                <w:rFonts w:hint="eastAsia" w:ascii="宋体" w:hAnsi="宋体"/>
                <w:color w:val="000000"/>
                <w:sz w:val="24"/>
                <w:lang w:val="en-US" w:eastAsia="zh-CN"/>
              </w:rPr>
              <w:t xml:space="preserve">  A</w:t>
            </w:r>
            <w:r>
              <w:rPr>
                <w:rFonts w:hint="eastAsia" w:ascii="宋体" w:hAnsi="宋体"/>
                <w:color w:val="000000"/>
                <w:sz w:val="24"/>
              </w:rPr>
              <w:t>/0</w:t>
            </w:r>
          </w:p>
          <w:p>
            <w:pPr>
              <w:spacing w:before="120" w:line="340" w:lineRule="exact"/>
              <w:rPr>
                <w:rFonts w:hint="default" w:ascii="宋体" w:hAnsi="宋体" w:eastAsia="宋体"/>
                <w:color w:val="000000"/>
                <w:sz w:val="24"/>
                <w:lang w:val="en-US" w:eastAsia="zh-CN"/>
              </w:rPr>
            </w:pPr>
            <w:r>
              <w:rPr>
                <w:rFonts w:hint="eastAsia" w:ascii="宋体" w:hAnsi="宋体"/>
                <w:color w:val="000000"/>
                <w:sz w:val="24"/>
              </w:rPr>
              <w:t>编制：</w:t>
            </w:r>
            <w:r>
              <w:rPr>
                <w:rFonts w:hint="eastAsia" w:ascii="宋体" w:hAnsi="宋体"/>
                <w:color w:val="000000"/>
                <w:sz w:val="24"/>
                <w:lang w:val="en-US" w:eastAsia="zh-CN"/>
              </w:rPr>
              <w:t xml:space="preserve">左晓军       </w:t>
            </w:r>
            <w:r>
              <w:rPr>
                <w:rFonts w:hint="eastAsia" w:ascii="宋体" w:hAnsi="宋体"/>
                <w:color w:val="000000"/>
                <w:sz w:val="24"/>
              </w:rPr>
              <w:t xml:space="preserve">      审批：</w:t>
            </w:r>
            <w:r>
              <w:rPr>
                <w:rFonts w:hint="eastAsia" w:ascii="宋体" w:hAnsi="宋体"/>
                <w:color w:val="000000"/>
                <w:sz w:val="24"/>
                <w:lang w:val="en-US" w:eastAsia="zh-CN"/>
              </w:rPr>
              <w:t>王浩</w:t>
            </w:r>
          </w:p>
          <w:p>
            <w:pPr>
              <w:pStyle w:val="11"/>
              <w:spacing w:line="340" w:lineRule="exact"/>
              <w:rPr>
                <w:rFonts w:ascii="宋体" w:hAnsi="宋体"/>
                <w:color w:val="000000"/>
                <w:sz w:val="24"/>
              </w:rPr>
            </w:pPr>
            <w:r>
              <w:rPr>
                <w:rFonts w:hint="eastAsia" w:ascii="宋体" w:hAnsi="宋体"/>
                <w:color w:val="000000"/>
                <w:sz w:val="24"/>
              </w:rPr>
              <w:t>文件标识清晰、易于识别、保持清晰。文件发布前均得到相关授权人员的批准，以确保文件的充分性与适宜性。</w:t>
            </w:r>
          </w:p>
          <w:p>
            <w:pPr>
              <w:pStyle w:val="11"/>
              <w:spacing w:line="340" w:lineRule="exact"/>
              <w:rPr>
                <w:rFonts w:ascii="宋体" w:hAnsi="宋体"/>
                <w:color w:val="000000"/>
                <w:sz w:val="24"/>
              </w:rPr>
            </w:pPr>
            <w:r>
              <w:rPr>
                <w:rFonts w:hint="eastAsia" w:ascii="宋体" w:hAnsi="宋体"/>
                <w:color w:val="000000"/>
                <w:sz w:val="24"/>
              </w:rPr>
              <w:t>本周期未有新增文件的发放及文件更改、作废。</w:t>
            </w:r>
          </w:p>
          <w:p>
            <w:pPr>
              <w:pStyle w:val="11"/>
              <w:spacing w:line="340" w:lineRule="exact"/>
              <w:rPr>
                <w:rFonts w:ascii="宋体" w:hAnsi="宋体"/>
                <w:color w:val="000000"/>
                <w:sz w:val="24"/>
              </w:rPr>
            </w:pPr>
            <w:r>
              <w:rPr>
                <w:rFonts w:hint="eastAsia" w:ascii="宋体" w:hAnsi="宋体"/>
                <w:color w:val="000000"/>
                <w:sz w:val="24"/>
              </w:rPr>
              <w:t>外来文件有清单</w:t>
            </w:r>
          </w:p>
          <w:p>
            <w:pPr>
              <w:spacing w:before="120" w:line="340" w:lineRule="exact"/>
              <w:rPr>
                <w:rFonts w:ascii="宋体" w:hAnsi="宋体"/>
                <w:color w:val="000000"/>
                <w:sz w:val="24"/>
              </w:rPr>
            </w:pPr>
            <w:r>
              <w:rPr>
                <w:rFonts w:hint="eastAsia" w:ascii="宋体" w:hAnsi="宋体"/>
                <w:color w:val="000000"/>
                <w:sz w:val="24"/>
              </w:rPr>
              <w:t>抽查：外来文件有《外来文件清单》，主要为法律法规要求及标准</w:t>
            </w:r>
            <w:r>
              <w:rPr>
                <w:rFonts w:hint="eastAsia" w:ascii="宋体" w:hAnsi="宋体"/>
                <w:color w:val="000000"/>
                <w:sz w:val="24"/>
                <w:lang w:eastAsia="zh-CN"/>
              </w:rPr>
              <w:t>：《</w:t>
            </w:r>
            <w:r>
              <w:rPr>
                <w:rFonts w:hint="eastAsia" w:ascii="宋体" w:hAnsi="宋体"/>
                <w:color w:val="000000"/>
                <w:sz w:val="24"/>
                <w:lang w:val="en-US" w:eastAsia="zh-CN"/>
              </w:rPr>
              <w:t>中华人民共和国产品质量法</w:t>
            </w:r>
            <w:r>
              <w:rPr>
                <w:rFonts w:hint="eastAsia" w:ascii="宋体" w:hAnsi="宋体"/>
                <w:color w:val="000000"/>
                <w:sz w:val="24"/>
                <w:lang w:eastAsia="zh-CN"/>
              </w:rPr>
              <w:t>》、《中华人民共和国合同法》、</w:t>
            </w:r>
            <w:r>
              <w:rPr>
                <w:rFonts w:hint="eastAsia" w:ascii="宋体" w:hAnsi="宋体" w:cs="宋体"/>
                <w:kern w:val="0"/>
                <w:szCs w:val="21"/>
              </w:rPr>
              <w:t>GB/T 16868-2009</w:t>
            </w:r>
            <w:r>
              <w:rPr>
                <w:rFonts w:hint="eastAsia" w:ascii="宋体" w:hAnsi="宋体"/>
                <w:color w:val="000000"/>
                <w:sz w:val="24"/>
                <w:lang w:eastAsia="zh-CN"/>
              </w:rPr>
              <w:t>《商品经营服务质量管理规范》</w:t>
            </w:r>
            <w:r>
              <w:rPr>
                <w:rFonts w:hint="eastAsia" w:ascii="宋体" w:hAnsi="宋体"/>
                <w:color w:val="000000"/>
                <w:sz w:val="24"/>
                <w:lang w:val="en-US" w:eastAsia="zh-CN"/>
              </w:rPr>
              <w:t>等</w:t>
            </w:r>
            <w:r>
              <w:rPr>
                <w:rFonts w:hint="eastAsia" w:ascii="宋体" w:hAnsi="宋体"/>
                <w:color w:val="000000"/>
                <w:sz w:val="24"/>
              </w:rPr>
              <w:t>均为电子版文件可查阅定期更新，文件管理符合要求。</w:t>
            </w:r>
          </w:p>
          <w:p>
            <w:pPr>
              <w:pStyle w:val="11"/>
              <w:spacing w:line="340" w:lineRule="exact"/>
              <w:rPr>
                <w:rFonts w:ascii="宋体" w:hAnsi="宋体"/>
                <w:color w:val="000000"/>
                <w:sz w:val="24"/>
              </w:rPr>
            </w:pPr>
            <w:r>
              <w:rPr>
                <w:rFonts w:hint="eastAsia" w:ascii="宋体" w:hAnsi="宋体"/>
                <w:color w:val="000000"/>
                <w:sz w:val="24"/>
              </w:rPr>
              <w:t>编制了《记录控制程序》程序中对记录的标识、贮存、保护、检索、留存和处置等内容做了规定。规定合理符合标准要求。</w:t>
            </w:r>
          </w:p>
          <w:p>
            <w:pPr>
              <w:pStyle w:val="11"/>
              <w:spacing w:line="340" w:lineRule="exact"/>
              <w:rPr>
                <w:rFonts w:ascii="宋体" w:hAnsi="宋体"/>
                <w:color w:val="000000"/>
                <w:sz w:val="24"/>
              </w:rPr>
            </w:pPr>
            <w:r>
              <w:rPr>
                <w:rFonts w:hint="eastAsia" w:ascii="宋体" w:hAnsi="宋体"/>
                <w:color w:val="000000"/>
                <w:sz w:val="24"/>
              </w:rPr>
              <w:t>记录由</w:t>
            </w:r>
            <w:r>
              <w:rPr>
                <w:rFonts w:hint="eastAsia" w:ascii="宋体" w:hAnsi="宋体"/>
                <w:color w:val="000000"/>
                <w:sz w:val="24"/>
                <w:lang w:eastAsia="zh-CN"/>
              </w:rPr>
              <w:t>管理部</w:t>
            </w:r>
            <w:r>
              <w:rPr>
                <w:rFonts w:hint="eastAsia" w:ascii="宋体" w:hAnsi="宋体"/>
                <w:color w:val="000000"/>
                <w:sz w:val="24"/>
              </w:rPr>
              <w:t>归口管理，有记录表单。</w:t>
            </w:r>
          </w:p>
          <w:p>
            <w:pPr>
              <w:pStyle w:val="11"/>
              <w:spacing w:line="340" w:lineRule="exact"/>
              <w:rPr>
                <w:rFonts w:ascii="宋体" w:hAnsi="宋体"/>
                <w:color w:val="000000"/>
                <w:sz w:val="24"/>
              </w:rPr>
            </w:pPr>
            <w:r>
              <w:rPr>
                <w:rFonts w:hint="eastAsia" w:ascii="宋体" w:hAnsi="宋体"/>
                <w:color w:val="000000"/>
                <w:sz w:val="24"/>
              </w:rPr>
              <w:t>提供《记录清单》共有</w:t>
            </w:r>
            <w:r>
              <w:rPr>
                <w:rFonts w:hint="eastAsia" w:ascii="宋体" w:hAnsi="宋体"/>
                <w:sz w:val="24"/>
              </w:rPr>
              <w:t>记录</w:t>
            </w:r>
            <w:r>
              <w:rPr>
                <w:rFonts w:hint="eastAsia" w:ascii="宋体" w:hAnsi="宋体"/>
                <w:sz w:val="24"/>
                <w:lang w:val="en-US" w:eastAsia="zh-CN"/>
              </w:rPr>
              <w:t>43</w:t>
            </w:r>
            <w:r>
              <w:rPr>
                <w:rFonts w:hint="eastAsia" w:ascii="宋体" w:hAnsi="宋体"/>
                <w:sz w:val="24"/>
              </w:rPr>
              <w:t>个 ，</w:t>
            </w:r>
            <w:r>
              <w:rPr>
                <w:rFonts w:hint="eastAsia" w:ascii="宋体" w:hAnsi="宋体"/>
                <w:color w:val="000000"/>
                <w:sz w:val="24"/>
              </w:rPr>
              <w:t>本周期无变化。</w:t>
            </w:r>
          </w:p>
          <w:p>
            <w:pPr>
              <w:pStyle w:val="11"/>
              <w:spacing w:line="340" w:lineRule="exact"/>
              <w:rPr>
                <w:rFonts w:hint="eastAsia" w:ascii="宋体" w:hAnsi="宋体" w:eastAsia="宋体"/>
                <w:color w:val="000000"/>
                <w:sz w:val="24"/>
                <w:lang w:eastAsia="zh-CN"/>
              </w:rPr>
            </w:pPr>
            <w:r>
              <w:rPr>
                <w:rFonts w:hint="eastAsia" w:ascii="宋体" w:hAnsi="宋体"/>
                <w:color w:val="000000"/>
                <w:sz w:val="24"/>
              </w:rPr>
              <w:t>清单中有记录编号、名称、保存期限，保存部门</w:t>
            </w:r>
            <w:r>
              <w:rPr>
                <w:rFonts w:hint="eastAsia" w:ascii="宋体" w:hAnsi="宋体"/>
                <w:color w:val="000000"/>
                <w:sz w:val="24"/>
                <w:lang w:eastAsia="zh-CN"/>
              </w:rPr>
              <w:t>管理部</w:t>
            </w:r>
          </w:p>
          <w:p>
            <w:pPr>
              <w:rPr>
                <w:rFonts w:ascii="宋体" w:hAnsi="宋体"/>
                <w:sz w:val="24"/>
              </w:rPr>
            </w:pPr>
            <w:r>
              <w:rPr>
                <w:rFonts w:hint="eastAsia" w:ascii="宋体" w:hAnsi="宋体"/>
                <w:color w:val="000000"/>
                <w:sz w:val="24"/>
              </w:rPr>
              <w:t xml:space="preserve">查：培训记录表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eastAsia="zh-CN"/>
              </w:rPr>
              <w:t>SY</w:t>
            </w:r>
            <w:r>
              <w:rPr>
                <w:rFonts w:hint="eastAsia" w:ascii="宋体" w:hAnsi="宋体"/>
                <w:color w:val="000000"/>
                <w:sz w:val="24"/>
              </w:rPr>
              <w:t xml:space="preserve">-XZ-16      3年    </w:t>
            </w:r>
          </w:p>
          <w:p>
            <w:pPr>
              <w:rPr>
                <w:rFonts w:ascii="宋体" w:hAnsi="宋体"/>
                <w:sz w:val="24"/>
              </w:rPr>
            </w:pPr>
            <w:r>
              <w:rPr>
                <w:rFonts w:hint="eastAsia" w:ascii="宋体" w:hAnsi="宋体"/>
                <w:color w:val="000000"/>
                <w:sz w:val="24"/>
              </w:rPr>
              <w:t xml:space="preserve">内审检查表    </w:t>
            </w:r>
            <w:r>
              <w:rPr>
                <w:rFonts w:ascii="宋体" w:hAnsi="宋体"/>
                <w:color w:val="000000"/>
                <w:sz w:val="24"/>
              </w:rPr>
              <w:t xml:space="preserve">        </w:t>
            </w:r>
            <w:r>
              <w:rPr>
                <w:rFonts w:hint="eastAsia" w:ascii="宋体" w:hAnsi="宋体"/>
                <w:color w:val="000000"/>
                <w:sz w:val="24"/>
                <w:lang w:eastAsia="zh-CN"/>
              </w:rPr>
              <w:t>SY</w:t>
            </w:r>
            <w:r>
              <w:rPr>
                <w:rFonts w:hint="eastAsia" w:ascii="宋体" w:hAnsi="宋体"/>
                <w:color w:val="000000"/>
                <w:sz w:val="24"/>
              </w:rPr>
              <w:t xml:space="preserve">-XZ-22    </w:t>
            </w:r>
            <w:r>
              <w:rPr>
                <w:rFonts w:ascii="宋体" w:hAnsi="宋体"/>
                <w:color w:val="000000"/>
                <w:sz w:val="24"/>
              </w:rPr>
              <w:t xml:space="preserve"> </w:t>
            </w:r>
            <w:r>
              <w:rPr>
                <w:rFonts w:hint="eastAsia" w:ascii="宋体" w:hAnsi="宋体"/>
                <w:color w:val="000000"/>
                <w:sz w:val="24"/>
                <w:lang w:val="en-US" w:eastAsia="zh-CN"/>
              </w:rPr>
              <w:t xml:space="preserve"> 5</w:t>
            </w:r>
            <w:r>
              <w:rPr>
                <w:rFonts w:hint="eastAsia" w:ascii="宋体" w:hAnsi="宋体"/>
                <w:color w:val="000000"/>
                <w:sz w:val="24"/>
              </w:rPr>
              <w:t xml:space="preserve">年  </w:t>
            </w:r>
          </w:p>
          <w:p>
            <w:pPr>
              <w:rPr>
                <w:rFonts w:ascii="宋体" w:hAnsi="宋体"/>
                <w:sz w:val="24"/>
              </w:rPr>
            </w:pPr>
            <w:r>
              <w:rPr>
                <w:rFonts w:hint="eastAsia" w:ascii="宋体" w:hAnsi="宋体"/>
                <w:color w:val="000000"/>
                <w:sz w:val="24"/>
              </w:rPr>
              <w:t>管理评审</w:t>
            </w:r>
            <w:r>
              <w:rPr>
                <w:rFonts w:hint="eastAsia" w:ascii="宋体" w:hAnsi="宋体"/>
                <w:color w:val="000000"/>
                <w:sz w:val="24"/>
                <w:lang w:val="en-US" w:eastAsia="zh-CN"/>
              </w:rPr>
              <w:t xml:space="preserve">报告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eastAsia="zh-CN"/>
              </w:rPr>
              <w:t>SY</w:t>
            </w:r>
            <w:r>
              <w:rPr>
                <w:rFonts w:hint="eastAsia" w:ascii="宋体" w:hAnsi="宋体"/>
                <w:color w:val="000000"/>
                <w:sz w:val="24"/>
              </w:rPr>
              <w:t xml:space="preserve">-XZ-13  </w:t>
            </w:r>
            <w:r>
              <w:rPr>
                <w:rFonts w:hint="eastAsia" w:ascii="宋体" w:hAnsi="宋体"/>
                <w:color w:val="000000"/>
                <w:sz w:val="24"/>
                <w:lang w:val="en-US" w:eastAsia="zh-CN"/>
              </w:rPr>
              <w:t xml:space="preserve"> </w:t>
            </w:r>
            <w:r>
              <w:rPr>
                <w:rFonts w:hint="eastAsia" w:ascii="宋体" w:hAnsi="宋体"/>
                <w:color w:val="000000"/>
                <w:sz w:val="24"/>
              </w:rPr>
              <w:t xml:space="preserve">   3年 </w:t>
            </w:r>
          </w:p>
          <w:p>
            <w:pPr>
              <w:pStyle w:val="11"/>
              <w:spacing w:line="340" w:lineRule="exact"/>
              <w:rPr>
                <w:rFonts w:ascii="宋体" w:hAnsi="宋体"/>
                <w:color w:val="000000"/>
                <w:sz w:val="24"/>
              </w:rPr>
            </w:pPr>
            <w:r>
              <w:rPr>
                <w:rFonts w:hint="eastAsia" w:ascii="宋体" w:hAnsi="宋体"/>
                <w:color w:val="000000"/>
                <w:sz w:val="24"/>
              </w:rPr>
              <w:t>公司要求记录的保存期限均为</w:t>
            </w:r>
            <w:r>
              <w:rPr>
                <w:rFonts w:ascii="宋体" w:hAnsi="宋体"/>
                <w:color w:val="000000"/>
                <w:sz w:val="24"/>
              </w:rPr>
              <w:t>3</w:t>
            </w:r>
            <w:r>
              <w:rPr>
                <w:rFonts w:hint="eastAsia" w:ascii="宋体" w:hAnsi="宋体"/>
                <w:color w:val="000000"/>
                <w:sz w:val="24"/>
                <w:lang w:val="en-US" w:eastAsia="zh-CN"/>
              </w:rPr>
              <w:t>年、5年或10年</w:t>
            </w:r>
            <w:r>
              <w:rPr>
                <w:rFonts w:hint="eastAsia" w:ascii="宋体" w:hAnsi="宋体"/>
                <w:color w:val="000000"/>
                <w:sz w:val="24"/>
              </w:rPr>
              <w:t>，记录标识为编号，存放保护：记录保存在文件柜或档案盒中，按照清单序号和文件编号检索，记录到期后由</w:t>
            </w:r>
            <w:r>
              <w:rPr>
                <w:rFonts w:hint="eastAsia" w:ascii="宋体" w:hAnsi="宋体"/>
                <w:color w:val="000000"/>
                <w:sz w:val="24"/>
                <w:lang w:eastAsia="zh-CN"/>
              </w:rPr>
              <w:t>管理部</w:t>
            </w:r>
            <w:r>
              <w:rPr>
                <w:rFonts w:hint="eastAsia" w:ascii="宋体" w:hAnsi="宋体"/>
                <w:color w:val="000000"/>
                <w:sz w:val="24"/>
              </w:rPr>
              <w:t>进行销毁。</w:t>
            </w:r>
          </w:p>
          <w:p>
            <w:pPr>
              <w:pStyle w:val="11"/>
              <w:spacing w:line="340" w:lineRule="exact"/>
              <w:rPr>
                <w:rFonts w:ascii="宋体" w:hAnsi="宋体"/>
                <w:color w:val="000000"/>
                <w:sz w:val="24"/>
              </w:rPr>
            </w:pPr>
            <w:r>
              <w:rPr>
                <w:rFonts w:hint="eastAsia" w:ascii="宋体" w:hAnsi="宋体"/>
                <w:color w:val="000000"/>
                <w:sz w:val="24"/>
              </w:rPr>
              <w:t>再抽查</w:t>
            </w:r>
            <w:r>
              <w:rPr>
                <w:rFonts w:hint="eastAsia" w:ascii="宋体" w:hAnsi="宋体"/>
                <w:color w:val="000000"/>
                <w:sz w:val="24"/>
                <w:lang w:val="en-US" w:eastAsia="zh-CN"/>
              </w:rPr>
              <w:t>其他</w:t>
            </w:r>
            <w:r>
              <w:rPr>
                <w:rFonts w:hint="eastAsia" w:ascii="宋体" w:hAnsi="宋体"/>
                <w:color w:val="000000"/>
                <w:sz w:val="24"/>
              </w:rPr>
              <w:t>记录7份，记录的填写清楚，按类别归档保存，记录的内容有一定的可追溯性，符合记录控制程序的规定。</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hint="default" w:ascii="宋体" w:hAnsi="宋体"/>
                <w:szCs w:val="21"/>
                <w:lang w:val="en-US" w:eastAsia="zh-CN"/>
              </w:rPr>
            </w:pPr>
            <w:r>
              <w:rPr>
                <w:rFonts w:hint="eastAsia" w:ascii="宋体" w:hAnsi="宋体"/>
                <w:szCs w:val="21"/>
                <w:lang w:val="en-US" w:eastAsia="zh-CN"/>
              </w:rPr>
              <w:t>监视测量分析评价</w:t>
            </w:r>
          </w:p>
        </w:tc>
        <w:tc>
          <w:tcPr>
            <w:tcW w:w="960" w:type="dxa"/>
          </w:tcPr>
          <w:p>
            <w:pPr>
              <w:spacing w:before="120" w:line="340" w:lineRule="exact"/>
              <w:rPr>
                <w:rFonts w:hint="default" w:ascii="宋体" w:hAnsi="宋体" w:eastAsia="宋体"/>
                <w:szCs w:val="21"/>
                <w:lang w:val="en-US" w:eastAsia="zh-CN"/>
              </w:rPr>
            </w:pPr>
            <w:r>
              <w:rPr>
                <w:rFonts w:ascii="宋体" w:hAnsi="宋体"/>
                <w:szCs w:val="21"/>
              </w:rPr>
              <w:t>Q</w:t>
            </w:r>
            <w:r>
              <w:rPr>
                <w:rFonts w:hint="eastAsia" w:ascii="宋体" w:hAnsi="宋体"/>
                <w:szCs w:val="21"/>
                <w:lang w:val="en-US" w:eastAsia="zh-CN"/>
              </w:rPr>
              <w:t>9.1.1</w:t>
            </w:r>
          </w:p>
          <w:p>
            <w:pPr>
              <w:spacing w:before="120" w:line="340" w:lineRule="exac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Q9.1.3</w:t>
            </w:r>
          </w:p>
          <w:p>
            <w:pPr>
              <w:spacing w:before="120" w:line="340" w:lineRule="exact"/>
              <w:rPr>
                <w:rFonts w:ascii="宋体" w:hAnsi="宋体"/>
                <w:szCs w:val="21"/>
              </w:rPr>
            </w:pPr>
          </w:p>
        </w:tc>
        <w:tc>
          <w:tcPr>
            <w:tcW w:w="10004" w:type="dxa"/>
          </w:tcPr>
          <w:p>
            <w:pPr>
              <w:pStyle w:val="11"/>
              <w:spacing w:line="340" w:lineRule="exact"/>
              <w:rPr>
                <w:rFonts w:hint="default" w:ascii="宋体" w:hAnsi="宋体"/>
                <w:color w:val="000000"/>
                <w:sz w:val="24"/>
                <w:lang w:val="en-US" w:eastAsia="zh-CN"/>
              </w:rPr>
            </w:pPr>
            <w:r>
              <w:rPr>
                <w:rFonts w:hint="eastAsia" w:ascii="宋体" w:hAnsi="宋体"/>
                <w:color w:val="000000"/>
                <w:sz w:val="24"/>
                <w:lang w:val="en-US" w:eastAsia="zh-CN"/>
              </w:rPr>
              <w:t>公司编辑了《监视和测量资源控制程序》、《监视、测量、分析和评价控制程序》、《内部审核程序》、《改进控制程序》、《风险和机遇控制程序》和《管理评审控制程序》等文件规定了</w:t>
            </w:r>
            <w:r>
              <w:rPr>
                <w:rFonts w:hint="eastAsia" w:ascii="宋体" w:hAnsi="宋体"/>
                <w:color w:val="000000"/>
                <w:sz w:val="24"/>
              </w:rPr>
              <w:t>组织</w:t>
            </w:r>
            <w:r>
              <w:rPr>
                <w:rFonts w:hint="eastAsia" w:ascii="宋体" w:hAnsi="宋体"/>
                <w:color w:val="000000"/>
                <w:sz w:val="24"/>
                <w:lang w:eastAsia="zh-CN"/>
              </w:rPr>
              <w:t>管理部</w:t>
            </w:r>
            <w:r>
              <w:rPr>
                <w:rFonts w:hint="eastAsia" w:ascii="宋体" w:hAnsi="宋体"/>
                <w:color w:val="000000"/>
                <w:sz w:val="24"/>
              </w:rPr>
              <w:t>等部门针对产品、过程和管理体系符合性和持续改进体系有效性方面所需的监视、测量、分析和改进的方法、频次和记录进行安排并实施，包括适用的统计工具的应用，最终的目的是为了实现符合顾客和法规要求优质工程，确保管理体系持续有效运行</w:t>
            </w:r>
            <w:r>
              <w:rPr>
                <w:rFonts w:hint="eastAsia" w:ascii="宋体" w:hAnsi="宋体"/>
                <w:color w:val="000000"/>
                <w:sz w:val="24"/>
                <w:lang w:val="en-US" w:eastAsia="zh-CN"/>
              </w:rPr>
              <w:t>。</w:t>
            </w:r>
          </w:p>
          <w:p>
            <w:pPr>
              <w:pStyle w:val="11"/>
              <w:spacing w:line="340" w:lineRule="exact"/>
              <w:rPr>
                <w:rFonts w:hint="eastAsia" w:ascii="宋体" w:hAnsi="宋体"/>
                <w:sz w:val="24"/>
              </w:rPr>
            </w:pPr>
            <w:r>
              <w:rPr>
                <w:rFonts w:hint="eastAsia" w:ascii="宋体" w:hAnsi="宋体"/>
                <w:color w:val="000000"/>
                <w:sz w:val="24"/>
              </w:rPr>
              <w:t>在供方业绩、生产过程控制、产品质量的符合性、顾客满意等方面采用统计表或调查表的形式进行数据统计和分析，以证实公司管理体系运行的有效性，以及寻找体系运行过程中存在的薄弱环节，为持续改进管理体系的有效性提供改进依据</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2160" w:type="dxa"/>
          </w:tcPr>
          <w:p>
            <w:pPr>
              <w:spacing w:before="120" w:line="320" w:lineRule="exact"/>
              <w:rPr>
                <w:rFonts w:hint="eastAsia" w:ascii="宋体" w:hAnsi="宋体" w:eastAsia="宋体"/>
                <w:szCs w:val="21"/>
                <w:lang w:eastAsia="zh-CN"/>
              </w:rPr>
            </w:pPr>
            <w:r>
              <w:rPr>
                <w:rFonts w:hint="eastAsia" w:ascii="宋体" w:hAnsi="宋体"/>
                <w:szCs w:val="21"/>
                <w:lang w:val="en-US" w:eastAsia="zh-CN"/>
              </w:rPr>
              <w:t>管理评审</w:t>
            </w:r>
          </w:p>
        </w:tc>
        <w:tc>
          <w:tcPr>
            <w:tcW w:w="960" w:type="dxa"/>
          </w:tcPr>
          <w:p>
            <w:pPr>
              <w:spacing w:before="120" w:line="340" w:lineRule="exact"/>
              <w:rPr>
                <w:rFonts w:hint="eastAsia" w:ascii="宋体" w:hAnsi="宋体" w:eastAsia="宋体"/>
                <w:szCs w:val="21"/>
                <w:lang w:eastAsia="zh-CN"/>
              </w:rPr>
            </w:pPr>
            <w:r>
              <w:rPr>
                <w:rFonts w:ascii="宋体" w:hAnsi="宋体"/>
                <w:szCs w:val="21"/>
              </w:rPr>
              <w:t>Q9.</w:t>
            </w:r>
            <w:r>
              <w:rPr>
                <w:rFonts w:hint="eastAsia" w:ascii="宋体" w:hAnsi="宋体"/>
                <w:szCs w:val="21"/>
                <w:lang w:val="en-US" w:eastAsia="zh-CN"/>
              </w:rPr>
              <w:t>3</w:t>
            </w:r>
          </w:p>
          <w:p>
            <w:pPr>
              <w:spacing w:before="120" w:line="340" w:lineRule="exact"/>
              <w:rPr>
                <w:rFonts w:ascii="宋体" w:hAnsi="宋体"/>
                <w:szCs w:val="21"/>
              </w:rPr>
            </w:pPr>
          </w:p>
        </w:tc>
        <w:tc>
          <w:tcPr>
            <w:tcW w:w="10004" w:type="dxa"/>
            <w:vAlign w:val="center"/>
          </w:tcPr>
          <w:p>
            <w:pPr>
              <w:rPr>
                <w:rFonts w:hint="eastAsia" w:ascii="宋体" w:hAnsi="宋体" w:eastAsia="宋体" w:cs="Times New Roman"/>
                <w:color w:val="000000"/>
                <w:kern w:val="2"/>
                <w:sz w:val="24"/>
                <w:szCs w:val="24"/>
                <w:lang w:val="en-US" w:eastAsia="zh-CN" w:bidi="ar-SA"/>
              </w:rPr>
            </w:pPr>
            <w:bookmarkStart w:id="1" w:name="_GoBack"/>
            <w:r>
              <w:rPr>
                <w:rFonts w:hint="eastAsia" w:ascii="宋体" w:hAnsi="宋体" w:eastAsia="宋体" w:cs="Times New Roman"/>
                <w:color w:val="000000"/>
                <w:kern w:val="2"/>
                <w:sz w:val="24"/>
                <w:szCs w:val="24"/>
                <w:lang w:val="en-US" w:eastAsia="zh-CN" w:bidi="ar-SA"/>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查管理评审的计划：管理评审的时间：2021年4月24日</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主持人：总经理    参加人：领导层、各部门负责人 </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要求每个部门需提交的管理评审输入内容包含了标准条款的要求。时间安排符合程序文件的要求。</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编制：毕仕春      批准：王新志  日期：2021.4.9</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提供管理评审会议记录：各部门负责人汇报了各部门的管理体系运行情况，管理者代表汇报了公司管理体系运行状况和内审不合格的整改情况，参会人员根据各部门的汇报情况展开讨论，总经理总结本次管理评审，对上一年度管理评审提出的改进措施进行了检查，改进措施有效，同时就今年的改进的决议作出了安排。</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查看管理评审报告，编制：毕仕春，批准：王新志  2021.4.24</w:t>
            </w:r>
          </w:p>
          <w:p>
            <w:pP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结论：公司质量管理体系符合标准要求，具有较好的充分性、适宜性和有效性，能较好的适应实现管理方针和管理目标的需要。</w:t>
            </w:r>
          </w:p>
          <w:p>
            <w:pPr>
              <w:rPr>
                <w:rFonts w:ascii="宋体" w:hAnsi="宋体"/>
                <w:color w:val="000000"/>
                <w:sz w:val="24"/>
              </w:rPr>
            </w:pPr>
            <w:r>
              <w:rPr>
                <w:rFonts w:hint="eastAsia" w:ascii="宋体" w:hAnsi="宋体" w:eastAsia="宋体" w:cs="Times New Roman"/>
                <w:color w:val="000000"/>
                <w:kern w:val="2"/>
                <w:sz w:val="24"/>
                <w:szCs w:val="24"/>
                <w:lang w:val="en-US" w:eastAsia="zh-CN" w:bidi="ar-SA"/>
              </w:rPr>
              <w:t>持续改进：加强培训，提高人员的质量意识和工作技能。</w:t>
            </w:r>
            <w:bookmarkEnd w:id="1"/>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spacing w:before="120" w:line="320" w:lineRule="exact"/>
              <w:rPr>
                <w:rFonts w:hint="default" w:ascii="宋体" w:hAnsi="宋体"/>
                <w:szCs w:val="21"/>
                <w:lang w:val="en-US" w:eastAsia="zh-CN"/>
              </w:rPr>
            </w:pPr>
            <w:r>
              <w:rPr>
                <w:rFonts w:hint="eastAsia" w:ascii="宋体" w:hAnsi="宋体"/>
                <w:szCs w:val="21"/>
                <w:lang w:val="en-US" w:eastAsia="zh-CN"/>
              </w:rPr>
              <w:t>改进</w:t>
            </w:r>
          </w:p>
        </w:tc>
        <w:tc>
          <w:tcPr>
            <w:tcW w:w="960" w:type="dxa"/>
          </w:tcPr>
          <w:p>
            <w:pPr>
              <w:spacing w:before="120" w:line="340" w:lineRule="exact"/>
              <w:rPr>
                <w:rFonts w:hint="eastAsia" w:ascii="宋体" w:hAnsi="宋体"/>
                <w:szCs w:val="21"/>
                <w:lang w:val="en-US" w:eastAsia="zh-CN"/>
              </w:rPr>
            </w:pPr>
            <w:r>
              <w:rPr>
                <w:rFonts w:hint="eastAsia" w:ascii="宋体" w:hAnsi="宋体"/>
                <w:szCs w:val="21"/>
                <w:lang w:val="en-US" w:eastAsia="zh-CN"/>
              </w:rPr>
              <w:t>Q10.1</w:t>
            </w:r>
          </w:p>
          <w:p>
            <w:pPr>
              <w:spacing w:before="120" w:line="340" w:lineRule="exact"/>
              <w:rPr>
                <w:rFonts w:hint="default" w:ascii="宋体" w:hAnsi="宋体" w:eastAsia="宋体"/>
                <w:szCs w:val="21"/>
                <w:lang w:val="en-US" w:eastAsia="zh-CN"/>
              </w:rPr>
            </w:pPr>
            <w:r>
              <w:rPr>
                <w:rFonts w:hint="eastAsia" w:ascii="宋体" w:hAnsi="宋体"/>
                <w:szCs w:val="21"/>
                <w:lang w:val="en-US" w:eastAsia="zh-CN"/>
              </w:rPr>
              <w:t>Q10.3</w:t>
            </w:r>
          </w:p>
        </w:tc>
        <w:tc>
          <w:tcPr>
            <w:tcW w:w="10004" w:type="dxa"/>
          </w:tcPr>
          <w:p>
            <w:pPr>
              <w:pStyle w:val="11"/>
              <w:spacing w:line="340" w:lineRule="exact"/>
              <w:rPr>
                <w:rFonts w:ascii="宋体" w:hAnsi="宋体"/>
                <w:color w:val="000000"/>
                <w:sz w:val="24"/>
              </w:rPr>
            </w:pPr>
            <w:r>
              <w:rPr>
                <w:rFonts w:hint="eastAsia" w:ascii="宋体" w:hAnsi="宋体"/>
                <w:color w:val="000000"/>
                <w:sz w:val="24"/>
              </w:rPr>
              <w:t>主要通过内审和管理评审活动的开展,查找公司管理体系运行过程中存在的薄弱环节,制定纠正和预防措施,以实现持续改进管理体系运行的有效性.详见</w:t>
            </w:r>
            <w:r>
              <w:rPr>
                <w:rFonts w:hint="eastAsia" w:ascii="宋体" w:hAnsi="宋体"/>
                <w:color w:val="000000"/>
                <w:sz w:val="24"/>
                <w:lang w:eastAsia="zh-CN"/>
              </w:rPr>
              <w:t>管理部</w:t>
            </w:r>
            <w:r>
              <w:rPr>
                <w:rFonts w:hint="eastAsia" w:ascii="宋体" w:hAnsi="宋体"/>
                <w:color w:val="000000"/>
                <w:sz w:val="24"/>
              </w:rPr>
              <w:t>相关审核记录.</w:t>
            </w:r>
          </w:p>
        </w:tc>
        <w:tc>
          <w:tcPr>
            <w:tcW w:w="1585" w:type="dxa"/>
          </w:tcPr>
          <w:p>
            <w:pPr>
              <w:rPr>
                <w:rFonts w:hint="eastAsia"/>
                <w:sz w:val="24"/>
                <w:lang w:val="en-US" w:eastAsia="zh-CN"/>
              </w:rPr>
            </w:pPr>
          </w:p>
        </w:tc>
      </w:tr>
    </w:tbl>
    <w:p>
      <w:pPr>
        <w:rPr>
          <w:sz w:val="24"/>
        </w:rPr>
      </w:pPr>
      <w:r>
        <w:rPr>
          <w:sz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A316E9"/>
    <w:rsid w:val="08F3762B"/>
    <w:rsid w:val="0AAD57F6"/>
    <w:rsid w:val="108219C2"/>
    <w:rsid w:val="1479558F"/>
    <w:rsid w:val="14A94AFA"/>
    <w:rsid w:val="1BF3613D"/>
    <w:rsid w:val="20B61E59"/>
    <w:rsid w:val="21567E7C"/>
    <w:rsid w:val="25627536"/>
    <w:rsid w:val="26F07BE4"/>
    <w:rsid w:val="2D8F4188"/>
    <w:rsid w:val="2E7E5472"/>
    <w:rsid w:val="33705A59"/>
    <w:rsid w:val="39FF5483"/>
    <w:rsid w:val="3A877FB2"/>
    <w:rsid w:val="3B21602F"/>
    <w:rsid w:val="3C542775"/>
    <w:rsid w:val="3D423A1B"/>
    <w:rsid w:val="3F425528"/>
    <w:rsid w:val="41FC6039"/>
    <w:rsid w:val="45361A48"/>
    <w:rsid w:val="48266871"/>
    <w:rsid w:val="487C2BF9"/>
    <w:rsid w:val="494A10CE"/>
    <w:rsid w:val="4C3C6983"/>
    <w:rsid w:val="555B2112"/>
    <w:rsid w:val="55987003"/>
    <w:rsid w:val="5DA62B31"/>
    <w:rsid w:val="5EA12B9A"/>
    <w:rsid w:val="5FEB3E7C"/>
    <w:rsid w:val="60013AEF"/>
    <w:rsid w:val="672B1FDE"/>
    <w:rsid w:val="6EFE43E4"/>
    <w:rsid w:val="702A63DB"/>
    <w:rsid w:val="71D618CF"/>
    <w:rsid w:val="74526611"/>
    <w:rsid w:val="757D7F2E"/>
    <w:rsid w:val="77070AE5"/>
    <w:rsid w:val="799D6057"/>
    <w:rsid w:val="7C4F72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1</TotalTime>
  <ScaleCrop>false</ScaleCrop>
  <LinksUpToDate>false</LinksUpToDate>
  <CharactersWithSpaces>3148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2021-06-29T02:40:29Z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C7E43FA19D754D72883CB3401E3E61EC</vt:lpwstr>
  </property>
</Properties>
</file>