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bookmarkStart w:id="19" w:name="_GoBack"/>
            <w:r>
              <w:rPr>
                <w:rFonts w:asciiTheme="minorEastAsia" w:hAnsiTheme="minorEastAsia" w:eastAsiaTheme="minorEastAsia"/>
                <w:sz w:val="20"/>
              </w:rPr>
              <w:t>安徽圣源橡塑科技有限公司</w:t>
            </w:r>
            <w:bookmarkEnd w:id="19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安徽省滁州市来安县经济开发区裕安西路81号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0177-2019-Q-2021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塑料件喷涂（含镀膜）的加工。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2021年06月24日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2021年06月24日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20"/>
        <w:gridCol w:w="1160"/>
        <w:gridCol w:w="3530"/>
        <w:gridCol w:w="3378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77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0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801" w:type="dxa"/>
            <w:vMerge w:val="restart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2</w:t>
            </w:r>
            <w:r>
              <w:rPr>
                <w:rFonts w:hint="default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default"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3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.删除的合理性。</w:t>
            </w:r>
          </w:p>
        </w:tc>
        <w:tc>
          <w:tcPr>
            <w:tcW w:w="337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Q:4/5/6/7.1.1/7.4/7.5.1/8.3/9.1.1/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0000FF"/>
                <w:spacing w:val="40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管理部</w:t>
            </w:r>
          </w:p>
        </w:tc>
        <w:tc>
          <w:tcPr>
            <w:tcW w:w="3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人力资源；工作环境，内部审核</w:t>
            </w:r>
            <w:r>
              <w:rPr>
                <w:rFonts w:hint="default" w:ascii="宋体" w:hAnsi="宋体"/>
                <w:sz w:val="18"/>
                <w:szCs w:val="18"/>
              </w:rPr>
              <w:t>.</w:t>
            </w:r>
          </w:p>
        </w:tc>
        <w:tc>
          <w:tcPr>
            <w:tcW w:w="3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Q:6.2/7.4/7.1.2/7.1.6/7.2/7.3/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cs="Arial"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7.5/9.2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0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9"/>
                <w:tab w:val="left" w:pos="2640"/>
              </w:tabs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57" w:leftChars="0" w:right="57" w:rightChars="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</w:p>
        </w:tc>
        <w:tc>
          <w:tcPr>
            <w:tcW w:w="3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原辅料卫生安全保障、可追溯性系统。</w:t>
            </w:r>
          </w:p>
        </w:tc>
        <w:tc>
          <w:tcPr>
            <w:tcW w:w="3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Q:6.2/7.1.3/7.1.4/7.4/8.1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8.5.1/8.5.2/8.5.3/8.5.4-8.5.6/8.7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30-1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华文楷体" w:hAnsi="华文楷体" w:eastAsia="华文楷体"/>
                <w:sz w:val="18"/>
                <w:szCs w:val="18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原料进货检验、产品出厂检验、不合格品的控制</w:t>
            </w:r>
          </w:p>
        </w:tc>
        <w:tc>
          <w:tcPr>
            <w:tcW w:w="337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Q:6.2/7.4/7.1.5/8.6/8.7/10.2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华文楷体" w:hAnsi="华文楷体" w:eastAsia="华文楷体"/>
                <w:sz w:val="18"/>
                <w:szCs w:val="18"/>
              </w:rPr>
            </w:pPr>
            <w:r>
              <w:rPr>
                <w:rFonts w:hint="default" w:ascii="华文楷体" w:hAnsi="华文楷体" w:eastAsia="华文楷体"/>
                <w:sz w:val="18"/>
                <w:szCs w:val="18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销售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3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</w:p>
        </w:tc>
        <w:tc>
          <w:tcPr>
            <w:tcW w:w="3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Q:5.3/6.2/8.2/8. 4/8.5.5/9.1.2</w:t>
            </w:r>
          </w:p>
        </w:tc>
        <w:tc>
          <w:tcPr>
            <w:tcW w:w="782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华文楷体" w:hAnsi="华文楷体" w:eastAsia="华文楷体"/>
                <w:sz w:val="18"/>
                <w:szCs w:val="18"/>
              </w:rPr>
            </w:pPr>
            <w:r>
              <w:rPr>
                <w:rFonts w:hint="default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 w:cs="Arial"/>
                <w:bCs/>
                <w:sz w:val="18"/>
                <w:szCs w:val="18"/>
              </w:rPr>
            </w:pPr>
            <w:r>
              <w:rPr>
                <w:rFonts w:hint="default"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37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01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华文楷体" w:hAnsi="华文楷体" w:eastAsia="华文楷体"/>
                <w:sz w:val="18"/>
                <w:szCs w:val="18"/>
              </w:rPr>
            </w:pPr>
          </w:p>
        </w:tc>
        <w:tc>
          <w:tcPr>
            <w:tcW w:w="806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Q：4.1、4.2、4.3、4.4、5.2、5.3、6.1、6.2、6.3、8.1、8.2、8.3、8.4、8.5、8.6、8.7、9.1、9.2、9.3、10.2、10.3;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B23441"/>
    <w:rsid w:val="2D886AF3"/>
    <w:rsid w:val="72AA220E"/>
    <w:rsid w:val="76A07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17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2021-06-24T06:58:06Z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6485E42EB93E4014B57365C8565B9732</vt:lpwstr>
  </property>
</Properties>
</file>