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4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71" w:type="dxa"/>
            <w:gridSpan w:val="2"/>
            <w:vAlign w:val="center"/>
          </w:tcPr>
          <w:p>
            <w:pPr>
              <w:rPr>
                <w:sz w:val="24"/>
                <w:szCs w:val="24"/>
              </w:rPr>
            </w:pPr>
            <w:r>
              <w:rPr>
                <w:rFonts w:hint="eastAsia"/>
                <w:sz w:val="24"/>
                <w:szCs w:val="24"/>
              </w:rPr>
              <w:t>受审核部门：管理层</w:t>
            </w:r>
            <w:r>
              <w:rPr>
                <w:sz w:val="24"/>
                <w:szCs w:val="24"/>
              </w:rPr>
              <w:t xml:space="preserve">    </w:t>
            </w:r>
            <w:r>
              <w:rPr>
                <w:rFonts w:hint="eastAsia"/>
                <w:sz w:val="24"/>
                <w:szCs w:val="24"/>
              </w:rPr>
              <w:t xml:space="preserve">    陪同人员：</w:t>
            </w:r>
            <w:r>
              <w:rPr>
                <w:rFonts w:hint="eastAsia"/>
                <w:sz w:val="28"/>
              </w:rPr>
              <w:t>江</w:t>
            </w:r>
            <w:r>
              <w:rPr>
                <w:sz w:val="28"/>
              </w:rPr>
              <w:t>晨</w:t>
            </w:r>
            <w:r>
              <w:rPr>
                <w:sz w:val="24"/>
                <w:szCs w:val="24"/>
              </w:rPr>
              <w:t xml:space="preserve"> </w:t>
            </w:r>
          </w:p>
        </w:tc>
        <w:tc>
          <w:tcPr>
            <w:tcW w:w="141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71" w:type="dxa"/>
            <w:gridSpan w:val="2"/>
            <w:vAlign w:val="center"/>
          </w:tcPr>
          <w:p>
            <w:pPr>
              <w:spacing w:before="120"/>
            </w:pPr>
            <w:r>
              <w:rPr>
                <w:rFonts w:hint="eastAsia"/>
                <w:sz w:val="24"/>
                <w:szCs w:val="24"/>
              </w:rPr>
              <w:t>审核员：胡益民              审核日期：2021-06-2</w:t>
            </w:r>
            <w:r>
              <w:rPr>
                <w:sz w:val="24"/>
                <w:szCs w:val="24"/>
              </w:rPr>
              <w:t>5</w:t>
            </w:r>
            <w:bookmarkStart w:id="0" w:name="_GoBack"/>
            <w:bookmarkEnd w:id="0"/>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71" w:type="dxa"/>
            <w:gridSpan w:val="2"/>
            <w:vAlign w:val="center"/>
          </w:tcPr>
          <w:p>
            <w:pPr>
              <w:tabs>
                <w:tab w:val="left" w:pos="709"/>
              </w:tabs>
              <w:ind w:right="57"/>
              <w:jc w:val="left"/>
              <w:rPr>
                <w:szCs w:val="21"/>
              </w:rPr>
            </w:pPr>
            <w:r>
              <w:rPr>
                <w:rFonts w:hint="eastAsia"/>
                <w:sz w:val="24"/>
                <w:szCs w:val="24"/>
              </w:rPr>
              <w:t>审核条款：</w:t>
            </w:r>
            <w:r>
              <w:rPr>
                <w:rFonts w:hint="eastAsia"/>
                <w:szCs w:val="21"/>
              </w:rPr>
              <w:t>QMS：4.1</w:t>
            </w:r>
            <w:r>
              <w:rPr>
                <w:szCs w:val="21"/>
              </w:rPr>
              <w:t>,</w:t>
            </w:r>
            <w:r>
              <w:rPr>
                <w:rFonts w:hint="eastAsia"/>
                <w:szCs w:val="21"/>
              </w:rPr>
              <w:t xml:space="preserve"> 4.2</w:t>
            </w:r>
            <w:r>
              <w:rPr>
                <w:szCs w:val="21"/>
              </w:rPr>
              <w:t>,</w:t>
            </w:r>
            <w:r>
              <w:rPr>
                <w:rFonts w:hint="eastAsia"/>
                <w:szCs w:val="21"/>
              </w:rPr>
              <w:t xml:space="preserve"> 4.3</w:t>
            </w:r>
            <w:r>
              <w:rPr>
                <w:szCs w:val="21"/>
              </w:rPr>
              <w:t>,</w:t>
            </w:r>
            <w:r>
              <w:rPr>
                <w:rFonts w:hint="eastAsia"/>
                <w:szCs w:val="21"/>
              </w:rPr>
              <w:t xml:space="preserve"> 4.4</w:t>
            </w:r>
            <w:r>
              <w:rPr>
                <w:szCs w:val="21"/>
              </w:rPr>
              <w:t>,</w:t>
            </w:r>
            <w:r>
              <w:rPr>
                <w:rFonts w:hint="eastAsia"/>
                <w:szCs w:val="21"/>
              </w:rPr>
              <w:t xml:space="preserve"> </w:t>
            </w:r>
            <w:r>
              <w:rPr>
                <w:szCs w:val="21"/>
              </w:rPr>
              <w:t>5.1</w:t>
            </w:r>
            <w:r>
              <w:rPr>
                <w:rFonts w:hint="eastAsia"/>
                <w:szCs w:val="21"/>
              </w:rPr>
              <w:t>,</w:t>
            </w:r>
            <w:r>
              <w:rPr>
                <w:szCs w:val="21"/>
              </w:rPr>
              <w:t xml:space="preserve"> 5.2</w:t>
            </w:r>
            <w:r>
              <w:rPr>
                <w:rFonts w:hint="eastAsia"/>
                <w:szCs w:val="21"/>
              </w:rPr>
              <w:t>,</w:t>
            </w:r>
            <w:r>
              <w:rPr>
                <w:szCs w:val="21"/>
              </w:rPr>
              <w:t xml:space="preserve"> 5.3</w:t>
            </w:r>
            <w:r>
              <w:rPr>
                <w:rFonts w:hint="eastAsia"/>
                <w:szCs w:val="21"/>
              </w:rPr>
              <w:t>,</w:t>
            </w:r>
            <w:r>
              <w:rPr>
                <w:szCs w:val="21"/>
              </w:rPr>
              <w:t xml:space="preserve"> </w:t>
            </w:r>
            <w:r>
              <w:rPr>
                <w:rFonts w:hint="eastAsia"/>
                <w:szCs w:val="21"/>
              </w:rPr>
              <w:t>6.1,</w:t>
            </w:r>
            <w:r>
              <w:rPr>
                <w:szCs w:val="21"/>
              </w:rPr>
              <w:t xml:space="preserve"> </w:t>
            </w:r>
            <w:r>
              <w:rPr>
                <w:rFonts w:hint="eastAsia"/>
                <w:szCs w:val="21"/>
              </w:rPr>
              <w:t>6.2,</w:t>
            </w:r>
            <w:r>
              <w:rPr>
                <w:szCs w:val="21"/>
              </w:rPr>
              <w:t xml:space="preserve"> 6.3</w:t>
            </w:r>
            <w:r>
              <w:rPr>
                <w:rFonts w:hint="eastAsia"/>
                <w:szCs w:val="21"/>
              </w:rPr>
              <w:t>,</w:t>
            </w:r>
            <w:r>
              <w:rPr>
                <w:szCs w:val="21"/>
              </w:rPr>
              <w:t xml:space="preserve"> 7</w:t>
            </w:r>
            <w:r>
              <w:rPr>
                <w:rFonts w:hint="eastAsia"/>
                <w:szCs w:val="21"/>
              </w:rPr>
              <w:t>.1.1,</w:t>
            </w:r>
            <w:r>
              <w:rPr>
                <w:szCs w:val="21"/>
              </w:rPr>
              <w:t xml:space="preserve"> </w:t>
            </w:r>
            <w:r>
              <w:rPr>
                <w:rFonts w:hint="eastAsia"/>
                <w:szCs w:val="21"/>
              </w:rPr>
              <w:t>9.1.1,</w:t>
            </w:r>
            <w:r>
              <w:rPr>
                <w:szCs w:val="21"/>
              </w:rPr>
              <w:t xml:space="preserve"> </w:t>
            </w:r>
            <w:r>
              <w:rPr>
                <w:rFonts w:hint="eastAsia"/>
                <w:szCs w:val="21"/>
              </w:rPr>
              <w:t>9.3,</w:t>
            </w:r>
            <w:r>
              <w:rPr>
                <w:szCs w:val="21"/>
              </w:rPr>
              <w:t xml:space="preserve"> </w:t>
            </w:r>
            <w:r>
              <w:rPr>
                <w:rFonts w:hint="eastAsia"/>
                <w:szCs w:val="21"/>
              </w:rPr>
              <w:t>10.1,10.3</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rPr>
                <w:rFonts w:hint="eastAsia"/>
              </w:rPr>
              <w:t xml:space="preserve">Q4.1 </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《公司环境分析控制程序》、</w:t>
            </w:r>
            <w:r>
              <w:rPr>
                <w:rFonts w:hint="eastAsia"/>
              </w:rPr>
              <w:sym w:font="Wingdings" w:char="00FE"/>
            </w:r>
            <w:r>
              <w:rPr>
                <w:rFonts w:hint="eastAsia"/>
              </w:rPr>
              <w:t>管理手册第4.1章</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r>
                    <w:rPr>
                      <w:rFonts w:hint="eastAsia"/>
                    </w:rPr>
                    <w:t>外部环境</w:t>
                  </w:r>
                </w:p>
              </w:tc>
              <w:tc>
                <w:tcPr>
                  <w:tcW w:w="6715" w:type="dxa"/>
                </w:tcPr>
                <w:p>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w:t>
                  </w:r>
                  <w:r>
                    <w:rPr>
                      <w:rFonts w:hint="eastAsia"/>
                    </w:rPr>
                    <w:sym w:font="Wingdings 2" w:char="0052"/>
                  </w:r>
                  <w:r>
                    <w:rPr>
                      <w:rFonts w:hint="eastAsia" w:ascii="宋体" w:hAnsi="宋体" w:cs="宋体"/>
                      <w:color w:val="000000"/>
                      <w:kern w:val="0"/>
                      <w:sz w:val="20"/>
                    </w:rPr>
                    <w:t>竞争因素</w:t>
                  </w:r>
                  <w:r>
                    <w:rPr>
                      <w:rFonts w:hint="eastAsia"/>
                    </w:rPr>
                    <w:t xml:space="preserve"> ☑</w:t>
                  </w:r>
                  <w:r>
                    <w:rPr>
                      <w:rFonts w:hint="eastAsia" w:ascii="宋体" w:hAnsi="宋体" w:cs="宋体"/>
                      <w:color w:val="000000"/>
                      <w:kern w:val="0"/>
                      <w:sz w:val="20"/>
                    </w:rPr>
                    <w:t>自然环境因素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r>
                    <w:rPr>
                      <w:rFonts w:hint="eastAsia"/>
                    </w:rPr>
                    <w:t>列举主要的内容</w:t>
                  </w:r>
                </w:p>
              </w:tc>
              <w:tc>
                <w:tcPr>
                  <w:tcW w:w="6715" w:type="dxa"/>
                </w:tcPr>
                <w:p>
                  <w:r>
                    <w:rPr>
                      <w:rFonts w:hint="eastAsia" w:ascii="宋体" w:hAnsi="宋体"/>
                      <w:kern w:val="0"/>
                      <w:szCs w:val="21"/>
                    </w:rPr>
                    <w:t>政局稳定， 经济大环境好。 目前国内政局稳定,国家大力发展国民经济， 着力提高人民生活水平,为企业提供了良好的发展环境。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r>
                    <w:rPr>
                      <w:rFonts w:hint="eastAsia"/>
                    </w:rPr>
                    <w:t>内部环境</w:t>
                  </w:r>
                </w:p>
              </w:tc>
              <w:tc>
                <w:tcPr>
                  <w:tcW w:w="6715" w:type="dxa"/>
                </w:tcPr>
                <w:p>
                  <w:r>
                    <w:rPr>
                      <w:rFonts w:hint="eastAsia"/>
                    </w:rPr>
                    <w:t>☑</w:t>
                  </w:r>
                  <w:r>
                    <w:rPr>
                      <w:rFonts w:hint="eastAsia" w:ascii="宋体" w:hAnsi="宋体" w:cs="宋体"/>
                      <w:color w:val="000000"/>
                      <w:kern w:val="0"/>
                      <w:sz w:val="20"/>
                    </w:rPr>
                    <w:t>企业文化</w:t>
                  </w:r>
                  <w:r>
                    <w:rPr>
                      <w:rFonts w:hint="eastAsia"/>
                    </w:rPr>
                    <w:t xml:space="preserve"> ☑</w:t>
                  </w:r>
                  <w:r>
                    <w:rPr>
                      <w:rFonts w:hint="eastAsia" w:ascii="宋体" w:hAnsi="宋体" w:cs="宋体"/>
                      <w:color w:val="000000"/>
                      <w:kern w:val="0"/>
                      <w:sz w:val="20"/>
                    </w:rPr>
                    <w:t>公司价值观</w:t>
                  </w:r>
                  <w:r>
                    <w:rPr>
                      <w:rFonts w:hint="eastAsia"/>
                    </w:rPr>
                    <w:t>☑</w:t>
                  </w:r>
                  <w:r>
                    <w:rPr>
                      <w:rFonts w:hint="eastAsia" w:ascii="宋体" w:hAnsi="宋体" w:cs="宋体"/>
                      <w:color w:val="000000"/>
                      <w:kern w:val="0"/>
                      <w:sz w:val="20"/>
                    </w:rPr>
                    <w:t>知识积累</w:t>
                  </w:r>
                  <w:r>
                    <w:rPr>
                      <w:rFonts w:hint="eastAsia"/>
                    </w:rPr>
                    <w:t>☑</w:t>
                  </w:r>
                  <w:r>
                    <w:rPr>
                      <w:rFonts w:hint="eastAsia" w:ascii="宋体" w:hAnsi="宋体" w:cs="宋体"/>
                      <w:color w:val="000000"/>
                      <w:kern w:val="0"/>
                      <w:sz w:val="20"/>
                    </w:rPr>
                    <w:t>绩效</w:t>
                  </w:r>
                  <w:r>
                    <w:rPr>
                      <w:rFonts w:hint="eastAsia"/>
                    </w:rPr>
                    <w:t>☑财务因素 ☑</w:t>
                  </w:r>
                  <w:r>
                    <w:rPr>
                      <w:rFonts w:ascii="宋体" w:hAnsi="宋体" w:cs="宋体"/>
                      <w:color w:val="000000"/>
                      <w:kern w:val="0"/>
                      <w:sz w:val="20"/>
                    </w:rPr>
                    <w:t>设备资源</w:t>
                  </w:r>
                  <w:r>
                    <w:rPr>
                      <w:rFonts w:hint="eastAsia"/>
                    </w:rPr>
                    <w:t xml:space="preserve"> ☑</w:t>
                  </w:r>
                  <w:r>
                    <w:rPr>
                      <w:rFonts w:hint="eastAsia" w:ascii="宋体" w:hAnsi="宋体" w:cs="宋体"/>
                      <w:color w:val="000000"/>
                      <w:kern w:val="0"/>
                      <w:sz w:val="20"/>
                    </w:rPr>
                    <w:t>人力环境</w:t>
                  </w:r>
                  <w:r>
                    <w:rPr>
                      <w:rFonts w:hint="eastAsia"/>
                    </w:rPr>
                    <w:t xml:space="preserve"> ☑</w:t>
                  </w:r>
                  <w:r>
                    <w:rPr>
                      <w:rFonts w:hint="eastAsia" w:ascii="宋体" w:hAnsi="宋体" w:cs="宋体"/>
                      <w:color w:val="000000"/>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r>
                    <w:rPr>
                      <w:rFonts w:hint="eastAsia"/>
                    </w:rPr>
                    <w:t>列举主要的内容</w:t>
                  </w:r>
                </w:p>
              </w:tc>
              <w:tc>
                <w:tcPr>
                  <w:tcW w:w="6715" w:type="dxa"/>
                </w:tcPr>
                <w:p>
                  <w:r>
                    <w:rPr>
                      <w:rFonts w:ascii="宋体" w:hAnsi="宋体"/>
                      <w:kern w:val="0"/>
                      <w:szCs w:val="21"/>
                    </w:rPr>
                    <w:t>做好员工敬业爱业教育</w:t>
                  </w:r>
                  <w:r>
                    <w:rPr>
                      <w:rFonts w:hint="eastAsia" w:ascii="宋体" w:hAnsi="宋体"/>
                      <w:kern w:val="0"/>
                      <w:szCs w:val="21"/>
                    </w:rPr>
                    <w:t>，</w:t>
                  </w:r>
                  <w:r>
                    <w:rPr>
                      <w:rFonts w:ascii="宋体" w:hAnsi="宋体"/>
                      <w:kern w:val="0"/>
                      <w:szCs w:val="21"/>
                    </w:rPr>
                    <w:t>不断提升优质产品水平</w:t>
                  </w:r>
                  <w:r>
                    <w:rPr>
                      <w:rFonts w:hint="eastAsia" w:ascii="宋体" w:hAnsi="宋体"/>
                      <w:kern w:val="0"/>
                      <w:szCs w:val="21"/>
                    </w:rPr>
                    <w:t>，</w:t>
                  </w:r>
                  <w:r>
                    <w:rPr>
                      <w:rFonts w:ascii="宋体" w:hAnsi="宋体"/>
                      <w:kern w:val="0"/>
                      <w:szCs w:val="21"/>
                    </w:rPr>
                    <w:t>持之以恒</w:t>
                  </w:r>
                  <w:r>
                    <w:rPr>
                      <w:rFonts w:hint="eastAsia" w:ascii="宋体" w:hAnsi="宋体"/>
                      <w:kern w:val="0"/>
                      <w:szCs w:val="21"/>
                    </w:rPr>
                    <w:t>，</w:t>
                  </w:r>
                  <w:r>
                    <w:rPr>
                      <w:rFonts w:ascii="宋体" w:hAnsi="宋体"/>
                      <w:kern w:val="0"/>
                      <w:szCs w:val="21"/>
                    </w:rPr>
                    <w:t>用心产品</w:t>
                  </w:r>
                  <w:r>
                    <w:rPr>
                      <w:rFonts w:hint="eastAsia" w:ascii="宋体" w:hAnsi="宋体"/>
                      <w:kern w:val="0"/>
                      <w:szCs w:val="21"/>
                    </w:rPr>
                    <w:t>，</w:t>
                  </w:r>
                  <w:r>
                    <w:rPr>
                      <w:rFonts w:ascii="宋体" w:hAnsi="宋体"/>
                      <w:kern w:val="0"/>
                      <w:szCs w:val="21"/>
                    </w:rPr>
                    <w:t>真诚产品</w:t>
                  </w:r>
                  <w:r>
                    <w:rPr>
                      <w:rFonts w:hint="eastAsia" w:ascii="宋体" w:hAnsi="宋体"/>
                      <w:kern w:val="0"/>
                      <w:szCs w:val="21"/>
                    </w:rPr>
                    <w:t>，不断提炼企业产品优势，增强核心竞争力，最大限度地赢得客户认可。为客户提供优质产品，为利益相关方创造价值。KPI（目标管理法）绩效考核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r>
                    <w:rPr>
                      <w:rFonts w:hint="eastAsia"/>
                      <w:color w:val="000000"/>
                      <w:szCs w:val="21"/>
                    </w:rPr>
                    <w:t>组织优势说明</w:t>
                  </w:r>
                </w:p>
              </w:tc>
              <w:tc>
                <w:tcPr>
                  <w:tcW w:w="6715" w:type="dxa"/>
                </w:tcPr>
                <w:p>
                  <w:pPr>
                    <w:rPr>
                      <w:rFonts w:ascii="宋体" w:hAnsi="宋体" w:cs="宋体"/>
                      <w:color w:val="000000"/>
                      <w:kern w:val="0"/>
                      <w:sz w:val="20"/>
                    </w:rPr>
                  </w:pPr>
                  <w:r>
                    <w:rPr>
                      <w:rFonts w:hint="eastAsia" w:ascii="宋体" w:hAnsi="宋体" w:cs="宋体"/>
                      <w:color w:val="000000"/>
                      <w:kern w:val="0"/>
                      <w:sz w:val="20"/>
                    </w:rPr>
                    <w:t>财务状况良好，资金充足。人力资源充分，能确保产品的质量控制，有良好的企业形象；技术力量；规模经济；产品质量；市场份额；成本优势。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r>
                    <w:rPr>
                      <w:rFonts w:hint="eastAsia"/>
                      <w:color w:val="000000"/>
                      <w:szCs w:val="21"/>
                    </w:rPr>
                    <w:t>组织劣势说明</w:t>
                  </w:r>
                </w:p>
              </w:tc>
              <w:tc>
                <w:tcPr>
                  <w:tcW w:w="6715" w:type="dxa"/>
                </w:tcPr>
                <w:p>
                  <w:pPr>
                    <w:rPr>
                      <w:rFonts w:ascii="宋体" w:hAnsi="宋体" w:cs="宋体"/>
                      <w:color w:val="000000"/>
                      <w:kern w:val="0"/>
                      <w:sz w:val="20"/>
                    </w:rPr>
                  </w:pPr>
                  <w:r>
                    <w:rPr>
                      <w:rFonts w:hint="eastAsia" w:ascii="宋体" w:hAnsi="宋体" w:cs="宋体"/>
                      <w:color w:val="000000"/>
                      <w:kern w:val="0"/>
                      <w:sz w:val="20"/>
                    </w:rPr>
                    <w:t>公司人员文化程度相对较低。各部门</w:t>
                  </w:r>
                  <w:r>
                    <w:rPr>
                      <w:rFonts w:ascii="宋体" w:hAnsi="宋体" w:cs="宋体"/>
                      <w:color w:val="000000"/>
                      <w:kern w:val="0"/>
                      <w:sz w:val="20"/>
                    </w:rPr>
                    <w:t>的</w:t>
                  </w:r>
                  <w:r>
                    <w:rPr>
                      <w:rFonts w:hint="eastAsia" w:ascii="宋体" w:hAnsi="宋体" w:cs="宋体"/>
                      <w:color w:val="000000"/>
                      <w:kern w:val="0"/>
                      <w:sz w:val="20"/>
                    </w:rPr>
                    <w:t>工作量较大。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r>
                    <w:rPr>
                      <w:rFonts w:hint="eastAsia"/>
                      <w:color w:val="000000"/>
                      <w:szCs w:val="21"/>
                    </w:rPr>
                    <w:t>主要风险的说明</w:t>
                  </w:r>
                </w:p>
              </w:tc>
              <w:tc>
                <w:tcPr>
                  <w:tcW w:w="6715" w:type="dxa"/>
                </w:tcPr>
                <w:p>
                  <w:pPr>
                    <w:rPr>
                      <w:rFonts w:ascii="宋体" w:hAnsi="宋体" w:cs="宋体"/>
                      <w:color w:val="000000"/>
                      <w:kern w:val="0"/>
                      <w:sz w:val="20"/>
                    </w:rPr>
                  </w:pPr>
                  <w:r>
                    <w:rPr>
                      <w:rFonts w:hint="eastAsia" w:ascii="宋体" w:hAnsi="宋体" w:cs="宋体"/>
                      <w:color w:val="000000"/>
                      <w:kern w:val="0"/>
                      <w:sz w:val="20"/>
                    </w:rPr>
                    <w:t>本公司产品质量稳定，但在市场中同行也多，竞争压力大。客户对产品质量标准提高，材料要求环保材料，以及对供应周期和售后服务的期望值提升，给公司材料采购、生产、质量和售后管理提出新的要求。设计产品质量不合格，影响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r>
                    <w:rPr>
                      <w:rFonts w:hint="eastAsia"/>
                      <w:color w:val="000000"/>
                      <w:szCs w:val="21"/>
                    </w:rPr>
                    <w:t>机遇的说明</w:t>
                  </w:r>
                </w:p>
              </w:tc>
              <w:tc>
                <w:tcPr>
                  <w:tcW w:w="6715" w:type="dxa"/>
                </w:tcPr>
                <w:p>
                  <w:pPr>
                    <w:rPr>
                      <w:rFonts w:ascii="宋体" w:hAnsi="宋体" w:cs="宋体"/>
                      <w:color w:val="000000"/>
                      <w:kern w:val="0"/>
                      <w:sz w:val="20"/>
                    </w:rPr>
                  </w:pPr>
                  <w:r>
                    <w:rPr>
                      <w:rFonts w:hint="eastAsia" w:ascii="宋体" w:hAnsi="宋体" w:cs="宋体"/>
                      <w:color w:val="000000"/>
                      <w:kern w:val="0"/>
                      <w:sz w:val="20"/>
                    </w:rPr>
                    <w:t>市场竞争的加剧，公司管理水平的提升，会给公司带来潜在的发展机遇；行业生产环境变化，给公司带来潜在的客户；公司产品机构调整，给公司带来潜在的客户；目前公司原材料供应稳定，品质稳定，供应厂商配合度好。</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《风险和机遇评估分析表》</w:t>
            </w:r>
            <w:r>
              <w:rPr>
                <w:rFonts w:hint="eastAsia"/>
              </w:rPr>
              <w:sym w:font="Wingdings" w:char="00FE"/>
            </w:r>
            <w:r>
              <w:rPr>
                <w:rFonts w:hint="eastAsia"/>
              </w:rPr>
              <w:t>《风险和机遇识别评价清单》</w:t>
            </w:r>
          </w:p>
          <w:p>
            <w:pPr>
              <w:rPr>
                <w:color w:val="000000"/>
                <w:szCs w:val="21"/>
              </w:rPr>
            </w:pPr>
            <w:r>
              <w:rPr>
                <w:rFonts w:hint="eastAsia"/>
              </w:rPr>
              <w:t xml:space="preserve">          </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Q4.2 </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《相关方需求和期望清单》</w:t>
            </w:r>
          </w:p>
          <w:p>
            <w:r>
              <w:rPr>
                <w:rFonts w:hint="eastAsia"/>
              </w:rPr>
              <w:t xml:space="preserve">   管理手册第4.2章  </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widowControl/>
              <w:jc w:val="center"/>
              <w:rPr>
                <w:rFonts w:ascii="宋体" w:hAnsi="宋体"/>
              </w:rPr>
            </w:pPr>
            <w:r>
              <w:rPr>
                <w:rFonts w:hint="eastAsia" w:ascii="宋体" w:hAnsi="宋体"/>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highlight w:val="cyan"/>
                    </w:rPr>
                  </w:pPr>
                  <w:r>
                    <w:rPr>
                      <w:rFonts w:hint="eastAsia"/>
                      <w:color w:val="000000" w:themeColor="text1"/>
                    </w:rPr>
                    <w:t>重要的相关方</w:t>
                  </w:r>
                </w:p>
              </w:tc>
              <w:tc>
                <w:tcPr>
                  <w:tcW w:w="2495" w:type="dxa"/>
                </w:tcPr>
                <w:p>
                  <w:pPr>
                    <w:rPr>
                      <w:color w:val="000000" w:themeColor="text1"/>
                      <w:highlight w:val="cyan"/>
                    </w:rPr>
                  </w:pPr>
                  <w:r>
                    <w:rPr>
                      <w:rFonts w:hint="eastAsia"/>
                      <w:color w:val="000000" w:themeColor="text1"/>
                    </w:rPr>
                    <w:t>相关方名称举例</w:t>
                  </w:r>
                </w:p>
              </w:tc>
              <w:tc>
                <w:tcPr>
                  <w:tcW w:w="3611" w:type="dxa"/>
                </w:tcPr>
                <w:p>
                  <w:pPr>
                    <w:rPr>
                      <w:color w:val="000000" w:themeColor="text1"/>
                      <w:highlight w:val="cyan"/>
                    </w:rPr>
                  </w:pPr>
                  <w:r>
                    <w:rPr>
                      <w:rFonts w:hint="eastAsia"/>
                      <w:color w:val="000000" w:themeColor="text1"/>
                    </w:rPr>
                    <w:t>重要的相关方需求和希望（不必全选）</w:t>
                  </w:r>
                </w:p>
              </w:tc>
              <w:tc>
                <w:tcPr>
                  <w:tcW w:w="1324" w:type="dxa"/>
                </w:tcPr>
                <w:p>
                  <w:pPr>
                    <w:rPr>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rPr>
                      <w:color w:val="000000" w:themeColor="text1"/>
                    </w:rPr>
                  </w:pPr>
                  <w:r>
                    <w:rPr>
                      <w:rFonts w:hint="eastAsia"/>
                      <w:color w:val="000000" w:themeColor="text1"/>
                    </w:rPr>
                    <w:t>☑主管部门</w:t>
                  </w:r>
                </w:p>
              </w:tc>
              <w:tc>
                <w:tcPr>
                  <w:tcW w:w="2495" w:type="dxa"/>
                </w:tcPr>
                <w:p>
                  <w:pPr>
                    <w:rPr>
                      <w:color w:val="000000" w:themeColor="text1"/>
                    </w:rPr>
                  </w:pPr>
                  <w:r>
                    <w:rPr>
                      <w:rFonts w:hint="eastAsia"/>
                      <w:color w:val="000000" w:themeColor="text1"/>
                    </w:rPr>
                    <w:t>滁州经济开发区</w:t>
                  </w:r>
                  <w:r>
                    <w:rPr>
                      <w:rFonts w:hint="eastAsia"/>
                      <w:color w:val="000000" w:themeColor="text1"/>
                      <w:szCs w:val="22"/>
                    </w:rPr>
                    <w:t>市场监督管理局</w:t>
                  </w:r>
                </w:p>
              </w:tc>
              <w:tc>
                <w:tcPr>
                  <w:tcW w:w="3611" w:type="dxa"/>
                </w:tcPr>
                <w:p>
                  <w:pPr>
                    <w:rPr>
                      <w:color w:val="000000" w:themeColor="text1"/>
                    </w:rPr>
                  </w:pPr>
                  <w:r>
                    <w:rPr>
                      <w:rFonts w:hint="eastAsia"/>
                      <w:color w:val="000000" w:themeColor="text1"/>
                    </w:rPr>
                    <w:t>☑遵守相关的法律法规</w:t>
                  </w:r>
                </w:p>
                <w:p>
                  <w:pPr>
                    <w:rPr>
                      <w:color w:val="000000" w:themeColor="text1"/>
                    </w:rPr>
                  </w:pPr>
                  <w:r>
                    <w:rPr>
                      <w:rFonts w:hint="eastAsia"/>
                      <w:color w:val="000000" w:themeColor="text1"/>
                    </w:rPr>
                    <w:t>☑保质保量</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☑供方</w:t>
                  </w:r>
                </w:p>
              </w:tc>
              <w:tc>
                <w:tcPr>
                  <w:tcW w:w="2495" w:type="dxa"/>
                </w:tcPr>
                <w:p>
                  <w:pPr>
                    <w:rPr>
                      <w:color w:val="000000" w:themeColor="text1"/>
                    </w:rPr>
                  </w:pPr>
                  <w:r>
                    <w:rPr>
                      <w:rFonts w:hint="eastAsia"/>
                      <w:color w:val="000000" w:themeColor="text1"/>
                    </w:rPr>
                    <w:t>企业负责图纸设计，日常仅需采购办公用品，均在集团内网中进行申请</w:t>
                  </w:r>
                </w:p>
              </w:tc>
              <w:tc>
                <w:tcPr>
                  <w:tcW w:w="3611" w:type="dxa"/>
                </w:tcPr>
                <w:p>
                  <w:pPr>
                    <w:rPr>
                      <w:color w:val="000000" w:themeColor="text1"/>
                    </w:rPr>
                  </w:pPr>
                  <w:r>
                    <w:rPr>
                      <w:rFonts w:ascii="Segoe UI Symbol" w:hAnsi="Segoe UI Symbol" w:cs="Segoe UI Symbol"/>
                      <w:color w:val="000000" w:themeColor="text1"/>
                    </w:rPr>
                    <w:t>☑</w:t>
                  </w:r>
                  <w:r>
                    <w:rPr>
                      <w:rFonts w:hint="eastAsia"/>
                      <w:color w:val="000000" w:themeColor="text1"/>
                    </w:rPr>
                    <w:t>组织的持续经营、</w:t>
                  </w:r>
                </w:p>
                <w:p>
                  <w:pPr>
                    <w:rPr>
                      <w:color w:val="000000" w:themeColor="text1"/>
                    </w:rPr>
                  </w:pPr>
                  <w:r>
                    <w:rPr>
                      <w:rFonts w:hint="eastAsia"/>
                      <w:color w:val="000000" w:themeColor="text1"/>
                    </w:rPr>
                    <w:sym w:font="Wingdings" w:char="00A8"/>
                  </w:r>
                  <w:r>
                    <w:rPr>
                      <w:rFonts w:hint="eastAsia"/>
                      <w:color w:val="000000" w:themeColor="text1"/>
                    </w:rPr>
                    <w:t>明示采购的环保要求</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☑顾客</w:t>
                  </w:r>
                </w:p>
              </w:tc>
              <w:tc>
                <w:tcPr>
                  <w:tcW w:w="2495" w:type="dxa"/>
                </w:tcPr>
                <w:p>
                  <w:pPr>
                    <w:rPr>
                      <w:color w:val="000000" w:themeColor="text1"/>
                    </w:rPr>
                  </w:pPr>
                  <w:r>
                    <w:rPr>
                      <w:rFonts w:hint="eastAsia"/>
                      <w:color w:val="000000" w:themeColor="text1"/>
                    </w:rPr>
                    <w:t>例如：《创新示范基地一期（隆基铝边框）110kV变电站》</w:t>
                  </w:r>
                </w:p>
              </w:tc>
              <w:tc>
                <w:tcPr>
                  <w:tcW w:w="3611" w:type="dxa"/>
                </w:tcPr>
                <w:p>
                  <w:pPr>
                    <w:ind w:left="210" w:hanging="210" w:hangingChars="100"/>
                    <w:rPr>
                      <w:color w:val="000000" w:themeColor="text1"/>
                    </w:rPr>
                  </w:pPr>
                  <w:r>
                    <w:rPr>
                      <w:rFonts w:ascii="Segoe UI Symbol" w:hAnsi="Segoe UI Symbol" w:cs="Segoe UI Symbol"/>
                      <w:color w:val="000000" w:themeColor="text1"/>
                    </w:rPr>
                    <w:t>☑</w:t>
                  </w:r>
                  <w:r>
                    <w:rPr>
                      <w:rFonts w:hint="eastAsia"/>
                      <w:color w:val="000000" w:themeColor="text1"/>
                    </w:rPr>
                    <w:t>不因质量问题影响按时按质按量交付产品或服务；</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szCs w:val="24"/>
                    </w:rPr>
                  </w:pPr>
                  <w:r>
                    <w:rPr>
                      <w:rFonts w:hint="eastAsia"/>
                      <w:color w:val="000000" w:themeColor="text1"/>
                    </w:rPr>
                    <w:t>☑员工</w:t>
                  </w:r>
                </w:p>
              </w:tc>
              <w:tc>
                <w:tcPr>
                  <w:tcW w:w="2495" w:type="dxa"/>
                </w:tcPr>
                <w:p>
                  <w:pPr>
                    <w:rPr>
                      <w:color w:val="000000" w:themeColor="text1"/>
                      <w:szCs w:val="24"/>
                    </w:rPr>
                  </w:pPr>
                  <w:r>
                    <w:rPr>
                      <w:rFonts w:hint="eastAsia"/>
                      <w:color w:val="000000" w:themeColor="text1"/>
                      <w:szCs w:val="24"/>
                    </w:rPr>
                    <w:t>——</w:t>
                  </w:r>
                </w:p>
              </w:tc>
              <w:tc>
                <w:tcPr>
                  <w:tcW w:w="3611" w:type="dxa"/>
                </w:tcPr>
                <w:p>
                  <w:pPr>
                    <w:rPr>
                      <w:color w:val="000000" w:themeColor="text1"/>
                    </w:rPr>
                  </w:pPr>
                  <w:r>
                    <w:rPr>
                      <w:rFonts w:hint="eastAsia"/>
                      <w:color w:val="000000" w:themeColor="text1"/>
                    </w:rPr>
                    <w:t>☑不因质量问题停产，组织持续经营</w:t>
                  </w:r>
                </w:p>
                <w:p>
                  <w:pPr>
                    <w:rPr>
                      <w:color w:val="000000" w:themeColor="text1"/>
                    </w:rPr>
                  </w:pPr>
                  <w:r>
                    <w:rPr>
                      <w:rFonts w:hint="eastAsia"/>
                      <w:color w:val="000000" w:themeColor="text1"/>
                    </w:rPr>
                    <w:t>□</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□社区</w:t>
                  </w:r>
                </w:p>
              </w:tc>
              <w:tc>
                <w:tcPr>
                  <w:tcW w:w="2495" w:type="dxa"/>
                </w:tcPr>
                <w:p>
                  <w:pPr>
                    <w:rPr>
                      <w:color w:val="000000" w:themeColor="text1"/>
                    </w:rPr>
                  </w:pPr>
                </w:p>
              </w:tc>
              <w:tc>
                <w:tcPr>
                  <w:tcW w:w="3611" w:type="dxa"/>
                </w:tcPr>
                <w:p>
                  <w:pPr>
                    <w:rPr>
                      <w:color w:val="000000" w:themeColor="text1"/>
                    </w:rPr>
                  </w:pPr>
                  <w:r>
                    <w:rPr>
                      <w:rFonts w:hint="eastAsia"/>
                      <w:color w:val="000000" w:themeColor="text1"/>
                    </w:rPr>
                    <w:t>□</w:t>
                  </w:r>
                  <w:r>
                    <w:rPr>
                      <w:color w:val="000000" w:themeColor="text1"/>
                    </w:rPr>
                    <w:t xml:space="preserve"> </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□其他</w:t>
                  </w:r>
                </w:p>
              </w:tc>
              <w:tc>
                <w:tcPr>
                  <w:tcW w:w="2495" w:type="dxa"/>
                </w:tcPr>
                <w:p>
                  <w:pPr>
                    <w:rPr>
                      <w:color w:val="000000" w:themeColor="text1"/>
                    </w:rPr>
                  </w:pPr>
                </w:p>
              </w:tc>
              <w:tc>
                <w:tcPr>
                  <w:tcW w:w="3611" w:type="dxa"/>
                </w:tcPr>
                <w:p>
                  <w:pPr>
                    <w:rPr>
                      <w:color w:val="000000" w:themeColor="text1"/>
                    </w:rPr>
                  </w:pPr>
                </w:p>
              </w:tc>
              <w:tc>
                <w:tcPr>
                  <w:tcW w:w="1324" w:type="dxa"/>
                </w:tcPr>
                <w:p>
                  <w:pPr>
                    <w:rPr>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widowControl/>
              <w:jc w:val="center"/>
              <w:rPr>
                <w:rFonts w:ascii="宋体" w:hAnsi="宋体"/>
              </w:rPr>
            </w:pPr>
          </w:p>
          <w:p>
            <w:pPr>
              <w:widowControl/>
              <w:rPr>
                <w:rFonts w:ascii="宋体" w:hAnsi="宋体"/>
              </w:rPr>
            </w:pPr>
            <w:r>
              <w:rPr>
                <w:rFonts w:hint="eastAsia" w:ascii="宋体" w:hAnsi="宋体"/>
              </w:rPr>
              <w:t xml:space="preserve">主要证据体现在 </w:t>
            </w:r>
            <w:r>
              <w:rPr>
                <w:rFonts w:hint="eastAsia" w:ascii="宋体" w:hAnsi="宋体"/>
              </w:rPr>
              <w:sym w:font="Wingdings" w:char="00FE"/>
            </w:r>
            <w:r>
              <w:rPr>
                <w:rFonts w:hint="eastAsia" w:ascii="宋体" w:hAnsi="宋体"/>
              </w:rPr>
              <w:t xml:space="preserve">《相关方的需求和期望清单》  </w:t>
            </w:r>
            <w:r>
              <w:rPr>
                <w:rFonts w:hint="eastAsia" w:ascii="宋体" w:hAnsi="宋体"/>
              </w:rPr>
              <w:sym w:font="Wingdings" w:char="00A8"/>
            </w:r>
            <w:r>
              <w:rPr>
                <w:rFonts w:hint="eastAsia" w:ascii="宋体" w:hAnsi="宋体"/>
              </w:rPr>
              <w:t xml:space="preserve">《年度业务计划》 </w:t>
            </w:r>
            <w:r>
              <w:rPr>
                <w:rFonts w:hint="eastAsia" w:ascii="宋体" w:hAnsi="宋体"/>
              </w:rPr>
              <w:sym w:font="Wingdings" w:char="00A8"/>
            </w:r>
            <w:r>
              <w:rPr>
                <w:rFonts w:hint="eastAsia" w:ascii="宋体" w:hAnsi="宋体"/>
              </w:rPr>
              <w:t>其他</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rPr>
                <w:rFonts w:hint="eastAsia"/>
              </w:rPr>
              <w:t>Q4.3</w:t>
            </w:r>
          </w:p>
        </w:tc>
        <w:tc>
          <w:tcPr>
            <w:tcW w:w="745" w:type="dxa"/>
          </w:tcPr>
          <w:p>
            <w:r>
              <w:rPr>
                <w:rFonts w:hint="eastAsia"/>
              </w:rPr>
              <w:t>文件名称</w:t>
            </w:r>
          </w:p>
        </w:tc>
        <w:tc>
          <w:tcPr>
            <w:tcW w:w="9426" w:type="dxa"/>
          </w:tcPr>
          <w:p>
            <w:pPr>
              <w:widowControl/>
              <w:jc w:val="left"/>
              <w:rPr>
                <w:rFonts w:ascii="宋体" w:hAnsi="宋体"/>
              </w:rPr>
            </w:pPr>
            <w:r>
              <w:rPr>
                <w:rFonts w:hint="eastAsia" w:ascii="宋体" w:hAnsi="宋体"/>
              </w:rPr>
              <w:t>如：</w:t>
            </w:r>
            <w:r>
              <w:rPr>
                <w:rFonts w:hint="eastAsia" w:ascii="宋体" w:hAnsi="宋体"/>
              </w:rPr>
              <w:sym w:font="Wingdings" w:char="00FE"/>
            </w:r>
            <w:r>
              <w:rPr>
                <w:rFonts w:hint="eastAsia" w:ascii="宋体" w:hAnsi="宋体"/>
              </w:rPr>
              <w:t>管理手册第4.3章和</w:t>
            </w:r>
            <w:r>
              <w:rPr>
                <w:rFonts w:hint="eastAsia" w:ascii="宋体" w:hAnsi="宋体"/>
              </w:rPr>
              <w:sym w:font="Wingdings" w:char="00FE"/>
            </w:r>
            <w:r>
              <w:rPr>
                <w:rFonts w:hint="eastAsia" w:ascii="宋体" w:hAnsi="宋体"/>
              </w:rPr>
              <w:t>0.4“公司概况”</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widowControl/>
              <w:jc w:val="center"/>
              <w:rPr>
                <w:rFonts w:ascii="宋体" w:hAnsi="宋体"/>
              </w:rPr>
            </w:pPr>
            <w:r>
              <w:rPr>
                <w:rFonts w:hint="eastAsia" w:ascii="宋体" w:hAnsi="宋体"/>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widowControl/>
                    <w:jc w:val="center"/>
                    <w:rPr>
                      <w:rFonts w:ascii="宋体" w:hAnsi="宋体"/>
                    </w:rPr>
                  </w:pPr>
                  <w:r>
                    <w:rPr>
                      <w:rFonts w:hint="eastAsia" w:ascii="宋体" w:hAnsi="宋体"/>
                    </w:rPr>
                    <w:t>范围的项目</w:t>
                  </w:r>
                </w:p>
              </w:tc>
              <w:tc>
                <w:tcPr>
                  <w:tcW w:w="7132" w:type="dxa"/>
                </w:tcPr>
                <w:p>
                  <w:pPr>
                    <w:widowControl/>
                    <w:jc w:val="left"/>
                    <w:rPr>
                      <w:rFonts w:ascii="宋体" w:hAnsi="宋体"/>
                    </w:rPr>
                  </w:pPr>
                  <w:r>
                    <w:rPr>
                      <w:rFonts w:hint="eastAsia" w:ascii="宋体" w:hAnsi="宋体"/>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widowControl/>
                    <w:jc w:val="center"/>
                    <w:rPr>
                      <w:rFonts w:ascii="宋体" w:hAnsi="宋体"/>
                    </w:rPr>
                  </w:pPr>
                  <w:r>
                    <w:rPr>
                      <w:rFonts w:hint="eastAsia" w:ascii="宋体" w:hAnsi="宋体"/>
                    </w:rPr>
                    <w:t>产品/服务的活动</w:t>
                  </w:r>
                </w:p>
              </w:tc>
              <w:tc>
                <w:tcPr>
                  <w:tcW w:w="7132" w:type="dxa"/>
                </w:tcPr>
                <w:p>
                  <w:pPr>
                    <w:widowControl/>
                    <w:jc w:val="left"/>
                    <w:rPr>
                      <w:rFonts w:ascii="宋体" w:hAnsi="宋体"/>
                    </w:rPr>
                  </w:pPr>
                  <w:r>
                    <w:rPr>
                      <w:rFonts w:hint="eastAsia" w:ascii="宋体" w:hAnsi="宋体"/>
                    </w:rPr>
                    <w:t>220KV及以下各电压等级的输电、变电、配电和工民建工程设计、资产评估、技术咨询。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widowControl/>
                    <w:jc w:val="center"/>
                    <w:rPr>
                      <w:rFonts w:ascii="宋体" w:hAnsi="宋体"/>
                    </w:rPr>
                  </w:pPr>
                  <w:r>
                    <w:rPr>
                      <w:rFonts w:hint="eastAsia" w:ascii="宋体" w:hAnsi="宋体"/>
                    </w:rPr>
                    <w:t>注册地址</w:t>
                  </w:r>
                </w:p>
              </w:tc>
              <w:tc>
                <w:tcPr>
                  <w:tcW w:w="7132" w:type="dxa"/>
                </w:tcPr>
                <w:p>
                  <w:pPr>
                    <w:widowControl/>
                    <w:jc w:val="left"/>
                    <w:rPr>
                      <w:rFonts w:ascii="宋体" w:hAnsi="宋体"/>
                    </w:rPr>
                  </w:pPr>
                  <w:r>
                    <w:rPr>
                      <w:rFonts w:hint="eastAsia" w:ascii="宋体" w:hAnsi="宋体"/>
                    </w:rPr>
                    <w:t>滁州市花园东路366号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widowControl/>
                    <w:jc w:val="center"/>
                    <w:rPr>
                      <w:rFonts w:ascii="宋体" w:hAnsi="宋体"/>
                    </w:rPr>
                  </w:pPr>
                  <w:r>
                    <w:rPr>
                      <w:rFonts w:hint="eastAsia" w:ascii="宋体" w:hAnsi="宋体"/>
                    </w:rPr>
                    <w:t>经营地址</w:t>
                  </w:r>
                </w:p>
              </w:tc>
              <w:tc>
                <w:tcPr>
                  <w:tcW w:w="7132" w:type="dxa"/>
                </w:tcPr>
                <w:p>
                  <w:pPr>
                    <w:widowControl/>
                    <w:jc w:val="left"/>
                    <w:rPr>
                      <w:rFonts w:ascii="宋体" w:hAnsi="宋体"/>
                    </w:rPr>
                  </w:pPr>
                  <w:r>
                    <w:rPr>
                      <w:rFonts w:hint="eastAsia" w:asciiTheme="minorEastAsia" w:hAnsiTheme="minorEastAsia" w:eastAsiaTheme="minorEastAsia"/>
                      <w:sz w:val="20"/>
                    </w:rPr>
                    <w:t>滁州市花园东路366号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widowControl/>
                    <w:jc w:val="center"/>
                    <w:rPr>
                      <w:rFonts w:ascii="宋体" w:hAnsi="宋体"/>
                    </w:rPr>
                  </w:pPr>
                  <w:r>
                    <w:rPr>
                      <w:rFonts w:hint="eastAsia" w:ascii="宋体" w:hAnsi="宋体"/>
                    </w:rPr>
                    <w:t>组织单元（部门/分支）</w:t>
                  </w:r>
                </w:p>
              </w:tc>
              <w:tc>
                <w:tcPr>
                  <w:tcW w:w="7132" w:type="dxa"/>
                </w:tcPr>
                <w:p>
                  <w:pPr>
                    <w:widowControl/>
                    <w:jc w:val="left"/>
                    <w:rPr>
                      <w:rFonts w:ascii="宋体" w:hAnsi="宋体"/>
                    </w:rPr>
                  </w:pPr>
                  <w:r>
                    <w:rPr>
                      <w:rFonts w:hint="eastAsia" w:ascii="宋体" w:hAnsi="宋体"/>
                    </w:rPr>
                    <w:sym w:font="Wingdings" w:char="00FE"/>
                  </w:r>
                  <w:r>
                    <w:rPr>
                      <w:rFonts w:hint="eastAsia" w:ascii="宋体" w:hAnsi="宋体"/>
                    </w:rPr>
                    <w:t>与组织结构图一致</w:t>
                  </w:r>
                </w:p>
                <w:p>
                  <w:pPr>
                    <w:widowControl/>
                    <w:jc w:val="left"/>
                    <w:rPr>
                      <w:rFonts w:ascii="宋体" w:hAnsi="宋体"/>
                    </w:rPr>
                  </w:pPr>
                  <w:r>
                    <w:rPr>
                      <w:rFonts w:hint="eastAsia" w:ascii="宋体" w:hAnsi="宋体"/>
                    </w:rPr>
                    <w:sym w:font="Wingdings" w:char="00A8"/>
                  </w:r>
                  <w:r>
                    <w:rPr>
                      <w:rFonts w:hint="eastAsia" w:ascii="宋体" w:hAnsi="宋体"/>
                    </w:rPr>
                    <w:t xml:space="preserve">分支机构，如：                   </w:t>
                  </w:r>
                </w:p>
                <w:p>
                  <w:pPr>
                    <w:widowControl/>
                    <w:jc w:val="left"/>
                    <w:rPr>
                      <w:rFonts w:ascii="宋体" w:hAnsi="宋体"/>
                    </w:rPr>
                  </w:pPr>
                  <w:r>
                    <w:rPr>
                      <w:rFonts w:hint="eastAsia" w:ascii="宋体" w:hAnsi="宋体"/>
                    </w:rPr>
                    <w:sym w:font="Wingdings" w:char="00A8"/>
                  </w:r>
                  <w:r>
                    <w:rPr>
                      <w:rFonts w:hint="eastAsia" w:ascii="宋体" w:hAnsi="宋体"/>
                    </w:rPr>
                    <w:t xml:space="preserve">临时场所，如：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widowControl/>
                    <w:jc w:val="center"/>
                    <w:rPr>
                      <w:rFonts w:ascii="宋体" w:hAnsi="宋体"/>
                    </w:rPr>
                  </w:pPr>
                  <w:r>
                    <w:rPr>
                      <w:rFonts w:hint="eastAsia" w:ascii="宋体" w:hAnsi="宋体"/>
                    </w:rPr>
                    <w:t>时间</w:t>
                  </w:r>
                </w:p>
              </w:tc>
              <w:tc>
                <w:tcPr>
                  <w:tcW w:w="7132" w:type="dxa"/>
                </w:tcPr>
                <w:p>
                  <w:pPr>
                    <w:widowControl/>
                    <w:jc w:val="left"/>
                    <w:rPr>
                      <w:rFonts w:ascii="宋体" w:hAnsi="宋体"/>
                    </w:rPr>
                  </w:pPr>
                  <w:r>
                    <w:rPr>
                      <w:rFonts w:hint="eastAsia" w:ascii="宋体" w:hAnsi="宋体"/>
                    </w:rPr>
                    <w:sym w:font="Wingdings" w:char="00A8"/>
                  </w:r>
                  <w:r>
                    <w:rPr>
                      <w:rFonts w:hint="eastAsia" w:ascii="宋体" w:hAnsi="宋体"/>
                    </w:rPr>
                    <w:t xml:space="preserve"> 体系建立以来</w:t>
                  </w:r>
                </w:p>
                <w:p>
                  <w:pPr>
                    <w:widowControl/>
                    <w:jc w:val="left"/>
                    <w:rPr>
                      <w:rFonts w:ascii="宋体" w:hAnsi="宋体"/>
                    </w:rPr>
                  </w:pPr>
                  <w:r>
                    <w:rPr>
                      <w:rFonts w:hint="eastAsia" w:ascii="宋体" w:hAnsi="宋体"/>
                    </w:rPr>
                    <w:sym w:font="Wingdings" w:char="00FE"/>
                  </w:r>
                  <w:r>
                    <w:rPr>
                      <w:rFonts w:hint="eastAsia" w:ascii="宋体" w:hAnsi="宋体"/>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widowControl/>
                    <w:jc w:val="center"/>
                    <w:rPr>
                      <w:rFonts w:ascii="宋体" w:hAnsi="宋体"/>
                    </w:rPr>
                  </w:pPr>
                  <w:r>
                    <w:rPr>
                      <w:rFonts w:hint="eastAsia" w:ascii="宋体" w:hAnsi="宋体"/>
                    </w:rPr>
                    <w:t>不适用ISO9001的条款</w:t>
                  </w:r>
                </w:p>
              </w:tc>
              <w:tc>
                <w:tcPr>
                  <w:tcW w:w="7132" w:type="dxa"/>
                </w:tcPr>
                <w:p>
                  <w:pPr>
                    <w:widowControl/>
                    <w:jc w:val="left"/>
                    <w:rPr>
                      <w:rFonts w:ascii="宋体" w:hAnsi="宋体"/>
                    </w:rPr>
                  </w:pPr>
                  <w:r>
                    <w:rPr>
                      <w:rFonts w:hint="eastAsia" w:ascii="宋体" w:hAnsi="宋体"/>
                    </w:rPr>
                    <w:sym w:font="Wingdings" w:char="00FE"/>
                  </w:r>
                  <w:r>
                    <w:rPr>
                      <w:rFonts w:hint="eastAsia" w:ascii="宋体" w:hAnsi="宋体"/>
                    </w:rPr>
                    <w:t>8.3产品和服务的设计和开发</w:t>
                  </w:r>
                </w:p>
                <w:p>
                  <w:pPr>
                    <w:widowControl/>
                    <w:jc w:val="left"/>
                    <w:rPr>
                      <w:rFonts w:ascii="宋体" w:hAnsi="宋体"/>
                    </w:rPr>
                  </w:pPr>
                  <w:r>
                    <w:rPr>
                      <w:rFonts w:hint="eastAsia" w:ascii="宋体" w:hAnsi="宋体"/>
                    </w:rPr>
                    <w:sym w:font="Wingdings" w:char="00A8"/>
                  </w: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widowControl/>
                    <w:jc w:val="center"/>
                    <w:rPr>
                      <w:rFonts w:ascii="宋体" w:hAnsi="宋体"/>
                    </w:rPr>
                  </w:pPr>
                  <w:r>
                    <w:rPr>
                      <w:rFonts w:hint="eastAsia" w:ascii="宋体" w:hAnsi="宋体"/>
                    </w:rPr>
                    <w:t>不适用的理由（可多选）</w:t>
                  </w:r>
                </w:p>
              </w:tc>
              <w:tc>
                <w:tcPr>
                  <w:tcW w:w="7132" w:type="dxa"/>
                  <w:vAlign w:val="center"/>
                </w:tcPr>
                <w:p>
                  <w:pPr>
                    <w:widowControl/>
                    <w:jc w:val="left"/>
                    <w:rPr>
                      <w:rFonts w:ascii="宋体" w:hAnsi="宋体"/>
                    </w:rPr>
                  </w:pPr>
                  <w:r>
                    <w:rPr>
                      <w:rFonts w:hint="eastAsia" w:ascii="宋体" w:hAnsi="宋体"/>
                    </w:rPr>
                    <w:t xml:space="preserve">□受审核组织没有设计开发的责任    </w:t>
                  </w:r>
                </w:p>
                <w:p>
                  <w:pPr>
                    <w:widowControl/>
                    <w:jc w:val="left"/>
                    <w:rPr>
                      <w:rFonts w:ascii="宋体" w:hAnsi="宋体"/>
                    </w:rPr>
                  </w:pPr>
                  <w:r>
                    <w:rPr>
                      <w:rFonts w:hint="eastAsia" w:ascii="宋体" w:hAnsi="宋体"/>
                    </w:rPr>
                    <w:t xml:space="preserve">□受审核组织没有设计开发的能力   </w:t>
                  </w:r>
                </w:p>
                <w:p>
                  <w:pPr>
                    <w:widowControl/>
                    <w:jc w:val="left"/>
                    <w:rPr>
                      <w:rFonts w:ascii="宋体" w:hAnsi="宋体"/>
                    </w:rPr>
                  </w:pPr>
                  <w:r>
                    <w:rPr>
                      <w:rFonts w:hint="eastAsia" w:ascii="宋体" w:hAnsi="宋体"/>
                    </w:rPr>
                    <w:t>□受审核组织没有设计开发修改的权力</w:t>
                  </w:r>
                </w:p>
                <w:p>
                  <w:pPr>
                    <w:widowControl/>
                    <w:jc w:val="left"/>
                    <w:rPr>
                      <w:rFonts w:ascii="宋体" w:hAnsi="宋体"/>
                    </w:rPr>
                  </w:pPr>
                  <w:r>
                    <w:rPr>
                      <w:rFonts w:hint="eastAsia" w:ascii="宋体" w:hAnsi="宋体"/>
                    </w:rPr>
                    <w:t>□受审核组织按照顾客图纸和合同要求提供生产和服务</w:t>
                  </w:r>
                </w:p>
                <w:p>
                  <w:pPr>
                    <w:widowControl/>
                    <w:jc w:val="left"/>
                    <w:rPr>
                      <w:rFonts w:ascii="宋体" w:hAnsi="宋体"/>
                    </w:rPr>
                  </w:pPr>
                  <w:r>
                    <w:rPr>
                      <w:rFonts w:hint="eastAsia" w:ascii="宋体" w:hAnsi="宋体"/>
                    </w:rPr>
                    <w:t>□受审核组织按照公司总部的技术要求提供生产和服务</w:t>
                  </w:r>
                </w:p>
                <w:p>
                  <w:pPr>
                    <w:widowControl/>
                    <w:jc w:val="left"/>
                    <w:rPr>
                      <w:rFonts w:ascii="宋体" w:hAnsi="宋体"/>
                    </w:rPr>
                  </w:pPr>
                  <w:r>
                    <w:rPr>
                      <w:rFonts w:hint="eastAsia" w:ascii="宋体" w:hAnsi="宋体"/>
                    </w:rPr>
                    <w:sym w:font="Wingdings" w:char="00FE"/>
                  </w:r>
                  <w:r>
                    <w:rPr>
                      <w:rFonts w:hint="eastAsia" w:ascii="宋体" w:hAnsi="宋体"/>
                    </w:rPr>
                    <w:t>受审核组织按照传统工艺提供生产和服务</w:t>
                  </w:r>
                </w:p>
                <w:p>
                  <w:pPr>
                    <w:widowControl/>
                    <w:jc w:val="left"/>
                    <w:rPr>
                      <w:rFonts w:ascii="宋体" w:hAnsi="宋体"/>
                    </w:rPr>
                  </w:pPr>
                  <w:r>
                    <w:rPr>
                      <w:rFonts w:hint="eastAsia" w:ascii="宋体" w:hAnsi="宋体"/>
                    </w:rPr>
                    <w:t>□其他：</w:t>
                  </w:r>
                </w:p>
              </w:tc>
            </w:tr>
          </w:tbl>
          <w:p>
            <w:pPr>
              <w:widowControl/>
              <w:jc w:val="center"/>
              <w:rPr>
                <w:rFonts w:ascii="宋体" w:hAnsi="宋体"/>
              </w:rPr>
            </w:pPr>
          </w:p>
          <w:p>
            <w:pPr>
              <w:widowControl/>
              <w:jc w:val="center"/>
              <w:rPr>
                <w:rFonts w:ascii="宋体" w:hAnsi="宋体"/>
              </w:rPr>
            </w:pP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rPr>
                <w:rFonts w:hint="eastAsia"/>
              </w:rPr>
              <w:t xml:space="preserve">Q4.4 </w:t>
            </w:r>
          </w:p>
        </w:tc>
        <w:tc>
          <w:tcPr>
            <w:tcW w:w="745" w:type="dxa"/>
          </w:tcPr>
          <w:p>
            <w:r>
              <w:rPr>
                <w:rFonts w:hint="eastAsia"/>
              </w:rPr>
              <w:t>文件名称</w:t>
            </w:r>
          </w:p>
        </w:tc>
        <w:tc>
          <w:tcPr>
            <w:tcW w:w="9426" w:type="dxa"/>
          </w:tcPr>
          <w:p>
            <w:r>
              <w:rPr>
                <w:rFonts w:hint="eastAsia"/>
              </w:rPr>
              <w:t>如：</w:t>
            </w:r>
            <w:r>
              <w:rPr>
                <w:rFonts w:hint="eastAsia" w:ascii="MS Gothic" w:hAnsi="MS Gothic" w:eastAsia="MS Gothic" w:cs="MS Gothic"/>
              </w:rPr>
              <w:t>☑</w:t>
            </w:r>
            <w:r>
              <w:rPr>
                <w:rFonts w:hint="eastAsia" w:ascii="宋体" w:hAnsi="宋体" w:cs="宋体"/>
              </w:rPr>
              <w:t>管理手册第</w:t>
            </w:r>
            <w:r>
              <w:rPr>
                <w:rFonts w:hint="eastAsia"/>
              </w:rPr>
              <w:t>4.4章和</w:t>
            </w:r>
            <w:r>
              <w:rPr>
                <w:rFonts w:hint="eastAsia" w:ascii="MS Gothic" w:hAnsi="MS Gothic" w:eastAsia="MS Gothic" w:cs="MS Gothic"/>
              </w:rPr>
              <w:t>☑</w:t>
            </w:r>
            <w:r>
              <w:rPr>
                <w:rFonts w:hint="eastAsia"/>
              </w:rPr>
              <w:t>《风险和机遇评估分析表》</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b/>
                <w:bCs/>
              </w:rPr>
            </w:pPr>
            <w:r>
              <w:rPr>
                <w:rFonts w:hint="eastAsia"/>
              </w:rPr>
              <w:t>☑订单评审过程 ☑配送过程 ☑交付和顾客反馈过程 ☑经营计划过程☑内部审核过程 ☑管理评审过程 ☑文件记录管理过程 ☑人力资源管理过程 ☑采购过程 ☑检验过程 ☑设备工装管理过程☑检验设备管理过程☑不合格管理过程☑改进过程</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□原材料订制□配送过程 ☑检验检测 □产品运输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Q5.1  </w:t>
            </w:r>
          </w:p>
        </w:tc>
        <w:tc>
          <w:tcPr>
            <w:tcW w:w="745" w:type="dxa"/>
          </w:tcPr>
          <w:p>
            <w:r>
              <w:rPr>
                <w:rFonts w:hint="eastAsia"/>
              </w:rPr>
              <w:t>文件名称</w:t>
            </w:r>
          </w:p>
        </w:tc>
        <w:tc>
          <w:tcPr>
            <w:tcW w:w="9426" w:type="dxa"/>
          </w:tcPr>
          <w:p>
            <w:r>
              <w:rPr>
                <w:rFonts w:hint="eastAsia"/>
              </w:rPr>
              <w:t>如：☑管理手册第5.1章和☑最高管理者岗位职责</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rPr>
                <w:color w:val="000000"/>
                <w:szCs w:val="21"/>
              </w:rPr>
            </w:pPr>
            <w:r>
              <w:rPr>
                <w:rFonts w:hint="eastAsia"/>
                <w:color w:val="000000"/>
                <w:szCs w:val="21"/>
              </w:rPr>
              <w:sym w:font="Wingdings" w:char="00FE"/>
            </w:r>
            <w:r>
              <w:rPr>
                <w:rFonts w:hint="eastAsia"/>
                <w:color w:val="000000"/>
                <w:szCs w:val="21"/>
              </w:rPr>
              <w:t xml:space="preserve">确保制定质量管理体系的质量方针和质量目标，并与组织的环境和战略方向相一致；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 xml:space="preserve">确保质量管理体系要求融入组织的业务过程；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确保质量管理体系所需的资源是可用的；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pPr>
              <w:rPr>
                <w:color w:val="000000"/>
                <w:szCs w:val="21"/>
              </w:rPr>
            </w:pPr>
            <w:r>
              <w:rPr>
                <w:rFonts w:hint="eastAsia"/>
                <w:color w:val="000000"/>
                <w:szCs w:val="21"/>
              </w:rPr>
              <w:sym w:font="Wingdings" w:char="00FE"/>
            </w:r>
            <w:r>
              <w:rPr>
                <w:rFonts w:hint="eastAsia"/>
                <w:color w:val="000000"/>
                <w:szCs w:val="21"/>
              </w:rPr>
              <w:t>确保质量管理体系实现其预期结果；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以顾客为关注焦点</w:t>
            </w:r>
          </w:p>
          <w:p/>
        </w:tc>
        <w:tc>
          <w:tcPr>
            <w:tcW w:w="960" w:type="dxa"/>
            <w:vMerge w:val="restart"/>
          </w:tcPr>
          <w:p>
            <w:r>
              <w:rPr>
                <w:rFonts w:hint="eastAsia"/>
              </w:rPr>
              <w:t>Q5.1.2  </w:t>
            </w:r>
          </w:p>
        </w:tc>
        <w:tc>
          <w:tcPr>
            <w:tcW w:w="745" w:type="dxa"/>
          </w:tcPr>
          <w:p>
            <w:r>
              <w:rPr>
                <w:rFonts w:hint="eastAsia"/>
              </w:rPr>
              <w:t>文件名称</w:t>
            </w:r>
          </w:p>
        </w:tc>
        <w:tc>
          <w:tcPr>
            <w:tcW w:w="9426" w:type="dxa"/>
          </w:tcPr>
          <w:p>
            <w:r>
              <w:rPr>
                <w:rFonts w:hint="eastAsia"/>
              </w:rPr>
              <w:t>如：☑管理手册第5.1章</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t>☑以身作则 ☑建立机制 ☑法规宣传 ☑风险机遇的应对 ☑重视顾客反馈 ☑目标考核 □其他</w:t>
            </w:r>
          </w:p>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60" w:type="dxa"/>
            <w:vMerge w:val="restart"/>
          </w:tcPr>
          <w:p>
            <w:r>
              <w:rPr>
                <w:rFonts w:hint="eastAsia"/>
              </w:rPr>
              <w:t>Q5.2  </w:t>
            </w:r>
          </w:p>
        </w:tc>
        <w:tc>
          <w:tcPr>
            <w:tcW w:w="745" w:type="dxa"/>
          </w:tcPr>
          <w:p>
            <w:r>
              <w:rPr>
                <w:rFonts w:hint="eastAsia"/>
              </w:rPr>
              <w:t>文件名称</w:t>
            </w:r>
          </w:p>
        </w:tc>
        <w:tc>
          <w:tcPr>
            <w:tcW w:w="9426" w:type="dxa"/>
          </w:tcPr>
          <w:p>
            <w:r>
              <w:rPr>
                <w:rFonts w:hint="eastAsia"/>
              </w:rPr>
              <w:t>如：☑管理手册第5.2章 ☑质量方针</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u w:val="single"/>
              </w:rPr>
            </w:pPr>
            <w:r>
              <w:rPr>
                <w:rFonts w:hint="eastAsia"/>
                <w:color w:val="000000"/>
                <w:szCs w:val="21"/>
              </w:rPr>
              <w:t xml:space="preserve"> </w:t>
            </w:r>
            <w:r>
              <w:rPr>
                <w:rFonts w:hint="eastAsia"/>
              </w:rPr>
              <w:t>最高管理者制定了文件化的管理体系方针：</w:t>
            </w:r>
          </w:p>
          <w:p>
            <w:pPr>
              <w:ind w:left="480"/>
              <w:rPr>
                <w:u w:val="single"/>
              </w:rPr>
            </w:pPr>
            <w:r>
              <w:rPr>
                <w:rFonts w:hint="eastAsia"/>
                <w:u w:val="single"/>
              </w:rPr>
              <w:t>精心设计、尽心服务、持续改进、顾客满意、环境和谐 、安全健康 、 预防为主、 诚信守法、  持续改进</w:t>
            </w: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p/>
        </w:tc>
        <w:tc>
          <w:tcPr>
            <w:tcW w:w="960" w:type="dxa"/>
            <w:vMerge w:val="restart"/>
          </w:tcPr>
          <w:p>
            <w:r>
              <w:rPr>
                <w:rFonts w:hint="eastAsia"/>
              </w:rPr>
              <w:t>Q5.3  </w:t>
            </w:r>
          </w:p>
        </w:tc>
        <w:tc>
          <w:tcPr>
            <w:tcW w:w="745" w:type="dxa"/>
          </w:tcPr>
          <w:p>
            <w:r>
              <w:rPr>
                <w:rFonts w:hint="eastAsia"/>
              </w:rPr>
              <w:t>文件名称</w:t>
            </w:r>
          </w:p>
        </w:tc>
        <w:tc>
          <w:tcPr>
            <w:tcW w:w="9426" w:type="dxa"/>
          </w:tcPr>
          <w:p>
            <w:pPr>
              <w:jc w:val="left"/>
            </w:pPr>
            <w:r>
              <w:rPr>
                <w:rFonts w:hint="eastAsia"/>
              </w:rPr>
              <w:t>如：☑管理手册第5.3章，☑《</w:t>
            </w:r>
            <w:r>
              <w:rPr>
                <w:rFonts w:hint="eastAsia"/>
                <w:szCs w:val="22"/>
              </w:rPr>
              <w:t>岗位职责和任职要求</w:t>
            </w:r>
            <w:r>
              <w:rPr>
                <w:rFonts w:hint="eastAsia"/>
              </w:rPr>
              <w:t>》</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负责公司质量、环境和职业健康安全管理体系的建立、实施及保持</w:t>
                  </w:r>
                </w:p>
              </w:tc>
              <w:tc>
                <w:tcPr>
                  <w:tcW w:w="2261" w:type="dxa"/>
                </w:tcPr>
                <w:p>
                  <w:r>
                    <w:rPr>
                      <w:rFonts w:hint="eastAsia"/>
                    </w:rPr>
                    <w:t>综合</w:t>
                  </w:r>
                  <w:r>
                    <w:t>部</w:t>
                  </w:r>
                </w:p>
              </w:tc>
              <w:tc>
                <w:tcPr>
                  <w:tcW w:w="2261" w:type="dxa"/>
                </w:tcPr>
                <w:p>
                  <w:r>
                    <w:rPr>
                      <w:rFonts w:hint="eastAsia"/>
                    </w:rPr>
                    <w:t>合理安排人员，搞好设计策划；处理好本部门与相关部门在工作过程中的组织和技术接口;</w:t>
                  </w:r>
                </w:p>
              </w:tc>
              <w:tc>
                <w:tcPr>
                  <w:tcW w:w="2261" w:type="dxa"/>
                </w:tcPr>
                <w:p>
                  <w:r>
                    <w:rPr>
                      <w:rFonts w:hint="eastAsia"/>
                    </w:rPr>
                    <w:t>设计部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Q6.1  </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w:t>
            </w:r>
            <w:r>
              <w:rPr>
                <w:rFonts w:hint="eastAsia"/>
                <w:color w:val="000000"/>
                <w:szCs w:val="21"/>
              </w:rPr>
              <w:t>风险和机遇识别及应对措施表</w:t>
            </w:r>
            <w:r>
              <w:rPr>
                <w:rFonts w:hint="eastAsia"/>
              </w:rPr>
              <w:t>》、</w:t>
            </w:r>
            <w:r>
              <w:rPr>
                <w:rFonts w:hint="eastAsia"/>
              </w:rPr>
              <w:sym w:font="Wingdings" w:char="00FE"/>
            </w:r>
            <w:r>
              <w:rPr>
                <w:rFonts w:hint="eastAsia"/>
              </w:rPr>
              <w:t>管理手册第6.1条款</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rPr>
              <w:t>分析风险的方法：</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FE"/>
            </w:r>
            <w:r>
              <w:rPr>
                <w:rFonts w:hint="eastAsia"/>
              </w:rPr>
              <w:t>其他</w:t>
            </w:r>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r>
              <w:rPr>
                <w:rFonts w:hint="eastAsia"/>
              </w:rPr>
              <w:t xml:space="preserve">列举2~3项应对主要风险的描述：         </w:t>
            </w:r>
          </w:p>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3500"/>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1" w:type="dxa"/>
                </w:tcPr>
                <w:p>
                  <w:pPr>
                    <w:rPr>
                      <w:color w:val="000000" w:themeColor="text1"/>
                    </w:rPr>
                  </w:pPr>
                  <w:r>
                    <w:rPr>
                      <w:rFonts w:hint="eastAsia"/>
                      <w:color w:val="000000" w:themeColor="text1"/>
                    </w:rPr>
                    <w:t>主要的风险描述</w:t>
                  </w:r>
                </w:p>
              </w:tc>
              <w:tc>
                <w:tcPr>
                  <w:tcW w:w="3500" w:type="dxa"/>
                </w:tcPr>
                <w:p>
                  <w:pPr>
                    <w:rPr>
                      <w:color w:val="000000" w:themeColor="text1"/>
                      <w:szCs w:val="24"/>
                    </w:rPr>
                  </w:pPr>
                  <w:r>
                    <w:rPr>
                      <w:rFonts w:hint="eastAsia"/>
                      <w:color w:val="000000" w:themeColor="text1"/>
                    </w:rPr>
                    <w:t>应对措施</w:t>
                  </w:r>
                </w:p>
              </w:tc>
              <w:tc>
                <w:tcPr>
                  <w:tcW w:w="963"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1" w:type="dxa"/>
                </w:tcPr>
                <w:p>
                  <w:pPr>
                    <w:rPr>
                      <w:color w:val="000000" w:themeColor="text1"/>
                    </w:rPr>
                  </w:pPr>
                  <w:r>
                    <w:rPr>
                      <w:rFonts w:hint="eastAsia"/>
                      <w:color w:val="000000" w:themeColor="text1"/>
                    </w:rPr>
                    <w:t>设计产品质量不合格，影响顾客满意。</w:t>
                  </w:r>
                </w:p>
              </w:tc>
              <w:tc>
                <w:tcPr>
                  <w:tcW w:w="3500" w:type="dxa"/>
                </w:tcPr>
                <w:p>
                  <w:pPr>
                    <w:rPr>
                      <w:color w:val="000000" w:themeColor="text1"/>
                    </w:rPr>
                  </w:pPr>
                  <w:r>
                    <w:rPr>
                      <w:rFonts w:hint="eastAsia"/>
                      <w:color w:val="000000" w:themeColor="text1"/>
                    </w:rPr>
                    <w:t>加强设计过程质量控制、增加设计论证控制力度，对工程师严格考核合格后上岗</w:t>
                  </w:r>
                </w:p>
              </w:tc>
              <w:tc>
                <w:tcPr>
                  <w:tcW w:w="963"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1" w:type="dxa"/>
                </w:tcPr>
                <w:p>
                  <w:pPr>
                    <w:snapToGrid w:val="0"/>
                    <w:spacing w:line="360" w:lineRule="exact"/>
                    <w:rPr>
                      <w:rFonts w:ascii="宋体" w:hAnsi="宋体" w:cs="宋体"/>
                      <w:szCs w:val="21"/>
                    </w:rPr>
                  </w:pPr>
                  <w:r>
                    <w:rPr>
                      <w:rFonts w:hint="eastAsia" w:ascii="宋体" w:hAnsi="宋体" w:cs="宋体"/>
                      <w:szCs w:val="21"/>
                    </w:rPr>
                    <w:t>公司目前员工业务素质在一定程度上存在参差不齐的情况，加上绩效考核不能有效落实，会对工作完成质量造成不好的影响。</w:t>
                  </w:r>
                </w:p>
                <w:p>
                  <w:pPr>
                    <w:rPr>
                      <w:color w:val="000000" w:themeColor="text1"/>
                      <w:szCs w:val="24"/>
                    </w:rPr>
                  </w:pPr>
                </w:p>
              </w:tc>
              <w:tc>
                <w:tcPr>
                  <w:tcW w:w="3500" w:type="dxa"/>
                </w:tcPr>
                <w:p>
                  <w:pPr>
                    <w:rPr>
                      <w:color w:val="000000" w:themeColor="text1"/>
                      <w:szCs w:val="21"/>
                    </w:rPr>
                  </w:pPr>
                  <w:r>
                    <w:rPr>
                      <w:rFonts w:hint="eastAsia"/>
                      <w:color w:val="000000" w:themeColor="text1"/>
                      <w:szCs w:val="21"/>
                    </w:rPr>
                    <w:t>1.各部门要及时关注员工的心理变换，注意工作方式，创造良好的工作环境，提高员工的归属感</w:t>
                  </w:r>
                </w:p>
              </w:tc>
              <w:tc>
                <w:tcPr>
                  <w:tcW w:w="963"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
            <w:pPr>
              <w:rPr>
                <w:color w:val="000000" w:themeColor="text1"/>
              </w:rPr>
            </w:pPr>
            <w:r>
              <w:rPr>
                <w:rFonts w:hint="eastAsia"/>
                <w:color w:val="000000" w:themeColor="text1"/>
              </w:rPr>
              <w:t xml:space="preserve">应对机遇的措施类型包括： </w:t>
            </w:r>
          </w:p>
          <w:p>
            <w:pPr>
              <w:rPr>
                <w:color w:val="000000" w:themeColor="text1"/>
              </w:rPr>
            </w:pPr>
            <w:r>
              <w:rPr>
                <w:rFonts w:hint="eastAsia"/>
                <w:color w:val="000000" w:themeColor="text1"/>
              </w:rPr>
              <w:sym w:font="Wingdings" w:char="00A8"/>
            </w:r>
            <w:r>
              <w:rPr>
                <w:rFonts w:hint="eastAsia"/>
                <w:color w:val="000000" w:themeColor="text1"/>
              </w:rPr>
              <w:t xml:space="preserve">采用新实践 </w:t>
            </w:r>
            <w:r>
              <w:rPr>
                <w:rFonts w:hint="eastAsia"/>
                <w:color w:val="000000" w:themeColor="text1"/>
              </w:rPr>
              <w:sym w:font="Wingdings" w:char="00A8"/>
            </w:r>
            <w:r>
              <w:rPr>
                <w:rFonts w:hint="eastAsia"/>
                <w:color w:val="000000" w:themeColor="text1"/>
              </w:rPr>
              <w:t xml:space="preserve">推出新产品  </w:t>
            </w:r>
            <w:r>
              <w:rPr>
                <w:rFonts w:hint="eastAsia"/>
                <w:color w:val="000000" w:themeColor="text1"/>
              </w:rPr>
              <w:sym w:font="Wingdings" w:char="00FE"/>
            </w:r>
            <w:r>
              <w:rPr>
                <w:rFonts w:hint="eastAsia"/>
                <w:color w:val="000000" w:themeColor="text1"/>
              </w:rPr>
              <w:t xml:space="preserve">开辟新市场  </w:t>
            </w:r>
            <w:r>
              <w:rPr>
                <w:rFonts w:hint="eastAsia"/>
                <w:color w:val="000000" w:themeColor="text1"/>
              </w:rPr>
              <w:sym w:font="Wingdings" w:char="00FE"/>
            </w:r>
            <w:r>
              <w:rPr>
                <w:rFonts w:hint="eastAsia"/>
                <w:color w:val="000000" w:themeColor="text1"/>
              </w:rPr>
              <w:t xml:space="preserve">赢得新顾客  </w:t>
            </w:r>
            <w:r>
              <w:rPr>
                <w:rFonts w:hint="eastAsia"/>
                <w:color w:val="000000" w:themeColor="text1"/>
              </w:rPr>
              <w:sym w:font="Wingdings" w:char="00FE"/>
            </w:r>
            <w:r>
              <w:rPr>
                <w:rFonts w:hint="eastAsia"/>
                <w:color w:val="000000" w:themeColor="text1"/>
              </w:rPr>
              <w:t xml:space="preserve">建立合作伙伴关系  </w:t>
            </w:r>
            <w:r>
              <w:rPr>
                <w:rFonts w:hint="eastAsia"/>
                <w:color w:val="000000" w:themeColor="text1"/>
              </w:rPr>
              <w:sym w:font="Wingdings" w:char="00A8"/>
            </w:r>
            <w:r>
              <w:rPr>
                <w:rFonts w:hint="eastAsia"/>
                <w:color w:val="000000" w:themeColor="text1"/>
              </w:rPr>
              <w:t xml:space="preserve">利用新技术  </w:t>
            </w:r>
            <w:r>
              <w:rPr>
                <w:rFonts w:hint="eastAsia"/>
                <w:color w:val="000000" w:themeColor="text1"/>
              </w:rPr>
              <w:sym w:font="Wingdings" w:char="00A8"/>
            </w:r>
            <w:r>
              <w:rPr>
                <w:rFonts w:hint="eastAsia"/>
                <w:color w:val="000000" w:themeColor="text1"/>
              </w:rPr>
              <w:t>其他</w:t>
            </w:r>
          </w:p>
          <w:p>
            <w:pPr>
              <w:rPr>
                <w:color w:val="000000" w:themeColor="text1"/>
              </w:rPr>
            </w:pPr>
            <w:r>
              <w:rPr>
                <w:rFonts w:hint="eastAsia"/>
                <w:color w:val="000000" w:themeColor="text1"/>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5"/>
              <w:gridCol w:w="483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tcPr>
                <w:p>
                  <w:pPr>
                    <w:rPr>
                      <w:color w:val="000000" w:themeColor="text1"/>
                    </w:rPr>
                  </w:pPr>
                  <w:r>
                    <w:rPr>
                      <w:rFonts w:hint="eastAsia"/>
                      <w:color w:val="000000" w:themeColor="text1"/>
                    </w:rPr>
                    <w:t>主要的机遇描述</w:t>
                  </w:r>
                </w:p>
              </w:tc>
              <w:tc>
                <w:tcPr>
                  <w:tcW w:w="4837" w:type="dxa"/>
                </w:tcPr>
                <w:p>
                  <w:pPr>
                    <w:rPr>
                      <w:color w:val="000000" w:themeColor="text1"/>
                      <w:szCs w:val="24"/>
                    </w:rPr>
                  </w:pPr>
                  <w:r>
                    <w:rPr>
                      <w:rFonts w:hint="eastAsia"/>
                      <w:color w:val="000000" w:themeColor="text1"/>
                    </w:rPr>
                    <w:t>应对措施</w:t>
                  </w:r>
                </w:p>
              </w:tc>
              <w:tc>
                <w:tcPr>
                  <w:tcW w:w="913"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tcPr>
                <w:p>
                  <w:pPr>
                    <w:snapToGrid w:val="0"/>
                    <w:spacing w:line="360" w:lineRule="exact"/>
                    <w:rPr>
                      <w:color w:val="000000" w:themeColor="text1"/>
                    </w:rPr>
                  </w:pPr>
                  <w:r>
                    <w:rPr>
                      <w:rFonts w:hint="eastAsia"/>
                      <w:color w:val="000000" w:themeColor="text1"/>
                    </w:rPr>
                    <w:t>加强产品质量控制，增强市场竞争力。</w:t>
                  </w:r>
                </w:p>
              </w:tc>
              <w:tc>
                <w:tcPr>
                  <w:tcW w:w="4837" w:type="dxa"/>
                </w:tcPr>
                <w:p>
                  <w:pPr>
                    <w:snapToGrid w:val="0"/>
                    <w:spacing w:line="360" w:lineRule="exact"/>
                    <w:jc w:val="left"/>
                    <w:rPr>
                      <w:color w:val="000000" w:themeColor="text1"/>
                    </w:rPr>
                  </w:pPr>
                  <w:r>
                    <w:rPr>
                      <w:rFonts w:hint="eastAsia"/>
                      <w:color w:val="000000" w:themeColor="text1"/>
                    </w:rPr>
                    <w:t>加强设计过程质量控制、增加设计论证控制力度，对工程师严格考核合格后上岗</w:t>
                  </w:r>
                </w:p>
                <w:p>
                  <w:pPr>
                    <w:rPr>
                      <w:color w:val="000000" w:themeColor="text1"/>
                    </w:rPr>
                  </w:pPr>
                </w:p>
              </w:tc>
              <w:tc>
                <w:tcPr>
                  <w:tcW w:w="913"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tcPr>
                <w:p>
                  <w:pPr>
                    <w:snapToGrid w:val="0"/>
                    <w:spacing w:line="360" w:lineRule="exact"/>
                    <w:rPr>
                      <w:color w:val="000000" w:themeColor="text1"/>
                      <w:szCs w:val="24"/>
                    </w:rPr>
                  </w:pPr>
                  <w:r>
                    <w:rPr>
                      <w:rFonts w:hint="eastAsia" w:ascii="宋体" w:hAnsi="宋体" w:cs="宋体"/>
                      <w:kern w:val="0"/>
                      <w:szCs w:val="21"/>
                    </w:rPr>
                    <w:t> 公司目前主要人员还算稳定，各项绩效考核能顺利开展，为公司的发展提供一个比较好的基础。</w:t>
                  </w:r>
                </w:p>
              </w:tc>
              <w:tc>
                <w:tcPr>
                  <w:tcW w:w="4837" w:type="dxa"/>
                </w:tcPr>
                <w:p>
                  <w:pPr>
                    <w:rPr>
                      <w:color w:val="000000" w:themeColor="text1"/>
                    </w:rPr>
                  </w:pPr>
                  <w:r>
                    <w:rPr>
                      <w:rFonts w:hint="eastAsia" w:ascii="宋体" w:hAnsi="宋体" w:cs="宋体"/>
                      <w:szCs w:val="21"/>
                    </w:rPr>
                    <w:t> 各职能部门加强绩效考核的有效开展，通过考核促进员工的工作积极性，提高业务素质。</w:t>
                  </w:r>
                </w:p>
              </w:tc>
              <w:tc>
                <w:tcPr>
                  <w:tcW w:w="913"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5" w:type="dxa"/>
                </w:tcPr>
                <w:p>
                  <w:pPr>
                    <w:rPr>
                      <w:color w:val="000000" w:themeColor="text1"/>
                      <w:szCs w:val="24"/>
                    </w:rPr>
                  </w:pPr>
                </w:p>
              </w:tc>
              <w:tc>
                <w:tcPr>
                  <w:tcW w:w="4837" w:type="dxa"/>
                </w:tcPr>
                <w:p>
                  <w:pPr>
                    <w:rPr>
                      <w:color w:val="000000" w:themeColor="text1"/>
                    </w:rPr>
                  </w:pPr>
                </w:p>
              </w:tc>
              <w:tc>
                <w:tcPr>
                  <w:tcW w:w="913" w:type="dxa"/>
                </w:tcPr>
                <w:p>
                  <w:pPr>
                    <w:rPr>
                      <w:color w:val="000000" w:themeColor="text1"/>
                    </w:rPr>
                  </w:pPr>
                </w:p>
              </w:tc>
            </w:tr>
          </w:tbl>
          <w:p/>
          <w:p>
            <w:r>
              <w:rPr>
                <w:rFonts w:hint="eastAsia"/>
              </w:rPr>
              <w:t>查看</w:t>
            </w:r>
            <w:r>
              <w:rPr>
                <w:rFonts w:hint="eastAsia"/>
              </w:rPr>
              <w:sym w:font="Wingdings" w:char="00FE"/>
            </w:r>
            <w:r>
              <w:rPr>
                <w:rFonts w:hint="eastAsia"/>
              </w:rPr>
              <w:t>《风险和机遇识别及应对措施表》</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 </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质量/环境/安全目标分解一览表</w:t>
            </w:r>
            <w:r>
              <w:rPr>
                <w:rFonts w:hint="eastAsia"/>
              </w:rPr>
              <w:t>》</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rFonts w:eastAsia="MS Mincho"/>
                <w:lang w:eastAsia="ja-JP"/>
              </w:rPr>
            </w:pPr>
            <w:r>
              <w:rPr>
                <w:rFonts w:hint="eastAsia"/>
              </w:rPr>
              <w:t>组织建立了与方针一致的文件化的管理目标。为实现总质量目标而建立的各层级质量目标具体、有针对性、可测量并且可实现。</w:t>
            </w:r>
          </w:p>
          <w:p>
            <w:pPr>
              <w:rPr>
                <w:rFonts w:eastAsia="MS Mincho"/>
              </w:rPr>
            </w:pPr>
            <w:r>
              <w:rPr>
                <w:rFonts w:hint="eastAsia"/>
              </w:rPr>
              <w:t>总质量目标实现情况的评价，及其测量方法是：</w:t>
            </w:r>
          </w:p>
          <w:p>
            <w:pPr>
              <w:rPr>
                <w:rFonts w:eastAsiaTheme="minorEastAsia"/>
              </w:rPr>
            </w:pPr>
            <w:r>
              <w:rPr>
                <w:rFonts w:hint="eastAsia" w:eastAsiaTheme="minorEastAsia"/>
              </w:rPr>
              <w:t>a)</w:t>
            </w:r>
            <w:r>
              <w:rPr>
                <w:rFonts w:hint="eastAsia"/>
              </w:rPr>
              <w:t xml:space="preserve"> </w:t>
            </w:r>
            <w:r>
              <w:rPr>
                <w:rFonts w:hint="eastAsia" w:eastAsiaTheme="minorEastAsia"/>
              </w:rPr>
              <w:t>合同履约率100% ；</w:t>
            </w:r>
          </w:p>
          <w:p>
            <w:pPr>
              <w:rPr>
                <w:rFonts w:eastAsiaTheme="minorEastAsia"/>
              </w:rPr>
            </w:pPr>
            <w:r>
              <w:rPr>
                <w:rFonts w:eastAsiaTheme="minorEastAsia"/>
              </w:rPr>
              <w:t>b</w:t>
            </w:r>
            <w:r>
              <w:rPr>
                <w:rFonts w:hint="eastAsia" w:eastAsiaTheme="minorEastAsia"/>
              </w:rPr>
              <w:t>) 设计一次交验合格率≥85%；</w:t>
            </w:r>
          </w:p>
          <w:p>
            <w:pPr>
              <w:rPr>
                <w:rFonts w:eastAsia="MS Mincho"/>
                <w:lang w:eastAsia="ja-JP"/>
              </w:rPr>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Q6.3  </w:t>
            </w:r>
          </w:p>
        </w:tc>
        <w:tc>
          <w:tcPr>
            <w:tcW w:w="745" w:type="dxa"/>
          </w:tcPr>
          <w:p>
            <w:r>
              <w:rPr>
                <w:rFonts w:hint="eastAsia"/>
              </w:rPr>
              <w:t>文件名称</w:t>
            </w:r>
          </w:p>
        </w:tc>
        <w:tc>
          <w:tcPr>
            <w:tcW w:w="9426" w:type="dxa"/>
          </w:tcPr>
          <w:p>
            <w:r>
              <w:rPr>
                <w:rFonts w:hint="eastAsia"/>
              </w:rPr>
              <w:t>如：手册第6.3条款、</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pPr>
                    <w:rPr>
                      <w:highlight w:val="cyan"/>
                    </w:rPr>
                  </w:pPr>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Q7.1 </w:t>
            </w:r>
          </w:p>
        </w:tc>
        <w:tc>
          <w:tcPr>
            <w:tcW w:w="745" w:type="dxa"/>
          </w:tcPr>
          <w:p>
            <w:r>
              <w:rPr>
                <w:rFonts w:hint="eastAsia"/>
              </w:rPr>
              <w:t>文件名称</w:t>
            </w:r>
          </w:p>
        </w:tc>
        <w:tc>
          <w:tcPr>
            <w:tcW w:w="9426" w:type="dxa"/>
          </w:tcPr>
          <w:p>
            <w:r>
              <w:rPr>
                <w:rFonts w:hint="eastAsia"/>
              </w:rPr>
              <w:t>如：手册第7.1条款、</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w:t>
            </w:r>
            <w:r>
              <w:rPr>
                <w:u w:val="single"/>
              </w:rPr>
              <w:t>2076</w:t>
            </w:r>
            <w:r>
              <w:rPr>
                <w:rFonts w:hint="eastAsia"/>
                <w:u w:val="single"/>
              </w:rPr>
              <w:t xml:space="preserve">  </w:t>
            </w:r>
            <w:r>
              <w:rPr>
                <w:rFonts w:hint="eastAsia"/>
              </w:rPr>
              <w:t>平米；</w:t>
            </w:r>
          </w:p>
          <w:p>
            <w:pPr>
              <w:rPr>
                <w:u w:val="single"/>
              </w:rPr>
            </w:pPr>
            <w:r>
              <w:rPr>
                <w:rFonts w:hint="eastAsia"/>
              </w:rPr>
              <w:t>主要设备有</w:t>
            </w:r>
            <w:r>
              <w:rPr>
                <w:rFonts w:hint="eastAsia"/>
                <w:u w:val="single"/>
              </w:rPr>
              <w:t>电脑 25台</w:t>
            </w:r>
            <w:r>
              <w:rPr>
                <w:u w:val="single"/>
              </w:rPr>
              <w:t>，</w:t>
            </w:r>
            <w:r>
              <w:rPr>
                <w:rFonts w:hint="eastAsia"/>
                <w:u w:val="single"/>
              </w:rPr>
              <w:t>打印机8台</w:t>
            </w:r>
            <w:r>
              <w:rPr>
                <w:u w:val="single"/>
              </w:rPr>
              <w:t xml:space="preserve"> </w:t>
            </w:r>
          </w:p>
          <w:p>
            <w:r>
              <w:rPr>
                <w:rFonts w:hint="eastAsia"/>
              </w:rPr>
              <w:t>特种设备：</w:t>
            </w:r>
            <w:r>
              <w:rPr>
                <w:rFonts w:hint="eastAsia"/>
              </w:rPr>
              <w:sym w:font="Wingdings" w:char="00A8"/>
            </w:r>
            <w:r>
              <w:rPr>
                <w:rFonts w:hint="eastAsia"/>
              </w:rPr>
              <w:t>叉车</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不适用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无                                     </w:t>
            </w:r>
            <w:r>
              <w:rPr>
                <w:rFonts w:hint="eastAsia"/>
              </w:rPr>
              <w:t xml:space="preserve">                            </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r>
              <w:rPr>
                <w:rFonts w:hint="eastAsia"/>
                <w:color w:val="000000"/>
                <w:szCs w:val="21"/>
              </w:rPr>
              <w:t>Q7.1.2</w:t>
            </w:r>
          </w:p>
        </w:tc>
        <w:tc>
          <w:tcPr>
            <w:tcW w:w="745" w:type="dxa"/>
          </w:tcPr>
          <w:p>
            <w:r>
              <w:rPr>
                <w:rFonts w:hint="eastAsia"/>
              </w:rPr>
              <w:t>文件名称</w:t>
            </w:r>
          </w:p>
        </w:tc>
        <w:tc>
          <w:tcPr>
            <w:tcW w:w="9426" w:type="dxa"/>
          </w:tcPr>
          <w:p>
            <w:r>
              <w:rPr>
                <w:rFonts w:hint="eastAsia"/>
              </w:rPr>
              <w:t>如：手册第7.1条款、</w:t>
            </w:r>
            <w:r>
              <w:rPr>
                <w:rFonts w:hint="eastAsia"/>
              </w:rPr>
              <w:sym w:font="Wingdings" w:char="00FE"/>
            </w:r>
            <w:r>
              <w:rPr>
                <w:rFonts w:hint="eastAsia"/>
              </w:rPr>
              <w:t>《人力资源控制程序》</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41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rPr>
                      <w:szCs w:val="21"/>
                    </w:rPr>
                  </w:pPr>
                  <w:r>
                    <w:rPr>
                      <w:rFonts w:hint="eastAsia"/>
                    </w:rPr>
                    <w:t>管理人员数量</w:t>
                  </w:r>
                </w:p>
              </w:tc>
              <w:tc>
                <w:tcPr>
                  <w:tcW w:w="1417" w:type="dxa"/>
                </w:tcPr>
                <w:p>
                  <w:pPr>
                    <w:rPr>
                      <w:szCs w:val="21"/>
                    </w:rPr>
                  </w:pPr>
                  <w:r>
                    <w:rPr>
                      <w:rFonts w:hint="eastAsia"/>
                    </w:rPr>
                    <w:t>普通人员数</w:t>
                  </w:r>
                </w:p>
              </w:tc>
              <w:tc>
                <w:tcPr>
                  <w:tcW w:w="1292" w:type="dxa"/>
                </w:tcPr>
                <w:p>
                  <w:pPr>
                    <w:rPr>
                      <w:szCs w:val="21"/>
                    </w:rPr>
                  </w:pPr>
                  <w:r>
                    <w:rPr>
                      <w:rFonts w:hint="eastAsia"/>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ind w:firstLine="630" w:firstLineChars="300"/>
                    <w:rPr>
                      <w:szCs w:val="21"/>
                    </w:rPr>
                  </w:pPr>
                  <w:r>
                    <w:rPr>
                      <w:szCs w:val="21"/>
                    </w:rPr>
                    <w:t>4</w:t>
                  </w:r>
                </w:p>
              </w:tc>
              <w:tc>
                <w:tcPr>
                  <w:tcW w:w="1417" w:type="dxa"/>
                </w:tcPr>
                <w:p>
                  <w:pPr>
                    <w:ind w:firstLine="420" w:firstLineChars="200"/>
                    <w:rPr>
                      <w:szCs w:val="21"/>
                    </w:rPr>
                  </w:pPr>
                  <w:r>
                    <w:rPr>
                      <w:rFonts w:hint="eastAsia"/>
                      <w:szCs w:val="21"/>
                    </w:rPr>
                    <w:t>21</w:t>
                  </w:r>
                </w:p>
              </w:tc>
              <w:tc>
                <w:tcPr>
                  <w:tcW w:w="1292" w:type="dxa"/>
                </w:tcPr>
                <w:p>
                  <w:pPr>
                    <w:rPr>
                      <w:szCs w:val="21"/>
                    </w:rPr>
                  </w:pPr>
                  <w:r>
                    <w:rPr>
                      <w:rFonts w:hint="eastAsia"/>
                      <w:szCs w:val="21"/>
                    </w:rPr>
                    <w:t>25</w:t>
                  </w:r>
                </w:p>
              </w:tc>
            </w:tr>
          </w:tbl>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Q7.3  </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《人力资源控制程序》</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rPr>
              <w:t xml:space="preserve">组织工作人员提高质量意识的方式：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相关的质量目标</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对质量管理体系有效性的贡献，包括改进绩效的益处；</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不符合质量管理体系要求的后果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r>
              <w:t>监视、测量、分析和评价</w:t>
            </w:r>
          </w:p>
        </w:tc>
        <w:tc>
          <w:tcPr>
            <w:tcW w:w="960" w:type="dxa"/>
          </w:tcPr>
          <w:p>
            <w:r>
              <w:rPr>
                <w:rFonts w:hint="eastAsia"/>
              </w:rPr>
              <w:t>Q9.1</w:t>
            </w:r>
          </w:p>
          <w:p/>
        </w:tc>
        <w:tc>
          <w:tcPr>
            <w:tcW w:w="745" w:type="dxa"/>
          </w:tcPr>
          <w:p>
            <w:r>
              <w:rPr>
                <w:rFonts w:hint="eastAsia"/>
              </w:rPr>
              <w:t>文件名称</w:t>
            </w:r>
          </w:p>
        </w:tc>
        <w:tc>
          <w:tcPr>
            <w:tcW w:w="9426" w:type="dxa"/>
          </w:tcPr>
          <w:p>
            <w:pPr>
              <w:ind w:right="640"/>
            </w:pPr>
            <w:r>
              <w:rPr>
                <w:rFonts w:hint="eastAsia"/>
              </w:rPr>
              <w:t>如：</w:t>
            </w:r>
            <w:r>
              <w:rPr>
                <w:rFonts w:hint="eastAsia"/>
              </w:rPr>
              <w:sym w:font="Wingdings" w:char="00FE"/>
            </w:r>
            <w:r>
              <w:rPr>
                <w:rFonts w:hint="eastAsia"/>
              </w:rPr>
              <w:t>管理手册9.1</w:t>
            </w:r>
            <w:r>
              <w:rPr>
                <w:rFonts w:hint="eastAsia" w:ascii="楷体_GB2312" w:eastAsia="楷体_GB2312"/>
                <w:b/>
                <w:bCs/>
                <w:sz w:val="32"/>
              </w:rPr>
              <w:t xml:space="preserve">  </w:t>
            </w:r>
            <w:r>
              <w:rPr>
                <w:rFonts w:hint="eastAsia"/>
              </w:rPr>
              <w:sym w:font="Wingdings" w:char="00FE"/>
            </w:r>
            <w:r>
              <w:rPr>
                <w:rFonts w:hint="eastAsia" w:ascii="楷体_GB2312" w:eastAsia="楷体_GB2312"/>
                <w:b/>
                <w:bCs/>
                <w:sz w:val="32"/>
              </w:rPr>
              <w:t xml:space="preserve"> </w:t>
            </w:r>
            <w:r>
              <w:rPr>
                <w:rFonts w:hint="eastAsia"/>
              </w:rPr>
              <w:t>内部审核程序</w:t>
            </w:r>
          </w:p>
        </w:tc>
        <w:tc>
          <w:tcPr>
            <w:tcW w:w="14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tcPr>
          <w:p/>
        </w:tc>
        <w:tc>
          <w:tcPr>
            <w:tcW w:w="960" w:type="dxa"/>
          </w:tcPr>
          <w:p/>
        </w:tc>
        <w:tc>
          <w:tcPr>
            <w:tcW w:w="745" w:type="dxa"/>
          </w:tcPr>
          <w:p>
            <w:r>
              <w:rPr>
                <w:rFonts w:hint="eastAsia"/>
              </w:rPr>
              <w:t>运行证据</w:t>
            </w:r>
          </w:p>
        </w:tc>
        <w:tc>
          <w:tcPr>
            <w:tcW w:w="9426" w:type="dxa"/>
          </w:tcPr>
          <w:tbl>
            <w:tblPr>
              <w:tblStyle w:val="7"/>
              <w:tblW w:w="14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2" w:type="dxa"/>
                </w:tcPr>
                <w:p>
                  <w:r>
                    <w:rPr>
                      <w:rFonts w:hint="eastAsia"/>
                    </w:rPr>
                    <w:t>运行证据</w:t>
                  </w:r>
                </w:p>
              </w:tc>
              <w:tc>
                <w:tcPr>
                  <w:tcW w:w="14043" w:type="dxa"/>
                </w:tcPr>
                <w:p>
                  <w:r>
                    <w:rPr>
                      <w:rFonts w:hint="eastAsia"/>
                    </w:rPr>
                    <w:t>组织对监视和测量的策划</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843"/>
                    <w:gridCol w:w="1559"/>
                    <w:gridCol w:w="1276"/>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9" w:type="dxa"/>
                      </w:tcPr>
                      <w:p>
                        <w:r>
                          <w:rPr>
                            <w:rFonts w:hint="eastAsia"/>
                          </w:rPr>
                          <w:t>监视和测量的对象</w:t>
                        </w:r>
                      </w:p>
                    </w:tc>
                    <w:tc>
                      <w:tcPr>
                        <w:tcW w:w="1843" w:type="dxa"/>
                      </w:tcPr>
                      <w:p>
                        <w:r>
                          <w:rPr>
                            <w:rFonts w:hint="eastAsia"/>
                          </w:rPr>
                          <w:t>监视、测量的方法</w:t>
                        </w:r>
                      </w:p>
                    </w:tc>
                    <w:tc>
                      <w:tcPr>
                        <w:tcW w:w="1559" w:type="dxa"/>
                      </w:tcPr>
                      <w:p>
                        <w:r>
                          <w:rPr>
                            <w:rFonts w:hint="eastAsia"/>
                          </w:rPr>
                          <w:t>监视和测量的频次和时机</w:t>
                        </w:r>
                      </w:p>
                    </w:tc>
                    <w:tc>
                      <w:tcPr>
                        <w:tcW w:w="1276" w:type="dxa"/>
                      </w:tcPr>
                      <w:p>
                        <w:r>
                          <w:rPr>
                            <w:rFonts w:hint="eastAsia"/>
                          </w:rPr>
                          <w:t>分析和评价的方法</w:t>
                        </w:r>
                      </w:p>
                    </w:tc>
                    <w:tc>
                      <w:tcPr>
                        <w:tcW w:w="3296"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r>
                          <w:rPr>
                            <w:rFonts w:hint="eastAsia"/>
                          </w:rPr>
                          <w:t>设计方案</w:t>
                        </w:r>
                      </w:p>
                    </w:tc>
                    <w:tc>
                      <w:tcPr>
                        <w:tcW w:w="1843" w:type="dxa"/>
                      </w:tcPr>
                      <w:p>
                        <w:r>
                          <w:rPr>
                            <w:rFonts w:hint="eastAsia"/>
                          </w:rPr>
                          <w:t>设计方案</w:t>
                        </w:r>
                        <w:r>
                          <w:t>的</w:t>
                        </w:r>
                        <w:r>
                          <w:rPr>
                            <w:rFonts w:hint="eastAsia"/>
                          </w:rPr>
                          <w:t>达标率</w:t>
                        </w:r>
                      </w:p>
                    </w:tc>
                    <w:tc>
                      <w:tcPr>
                        <w:tcW w:w="1559" w:type="dxa"/>
                      </w:tcPr>
                      <w:p>
                        <w:r>
                          <w:rPr>
                            <w:rFonts w:hint="eastAsia"/>
                            <w:color w:val="000000"/>
                            <w:szCs w:val="21"/>
                          </w:rPr>
                          <w:t>□</w:t>
                        </w:r>
                        <w:r>
                          <w:rPr>
                            <w:rFonts w:hint="eastAsia"/>
                          </w:rPr>
                          <w:t>见检验计划/规程</w:t>
                        </w:r>
                        <w:r>
                          <w:rPr>
                            <w:rFonts w:hint="eastAsia"/>
                            <w:color w:val="000000"/>
                            <w:szCs w:val="21"/>
                          </w:rPr>
                          <w:t>☑每批</w:t>
                        </w:r>
                      </w:p>
                    </w:tc>
                    <w:tc>
                      <w:tcPr>
                        <w:tcW w:w="1276" w:type="dxa"/>
                      </w:tcPr>
                      <w:p>
                        <w:r>
                          <w:rPr>
                            <w:rFonts w:hint="eastAsia"/>
                          </w:rPr>
                          <w:t>对产品合格率进行统计，</w:t>
                        </w:r>
                      </w:p>
                    </w:tc>
                    <w:tc>
                      <w:tcPr>
                        <w:tcW w:w="329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r>
                          <w:rPr>
                            <w:rFonts w:hint="eastAsia"/>
                          </w:rPr>
                          <w:t>过程</w:t>
                        </w:r>
                      </w:p>
                    </w:tc>
                    <w:tc>
                      <w:tcPr>
                        <w:tcW w:w="1843" w:type="dxa"/>
                      </w:tcPr>
                      <w:p>
                        <w:r>
                          <w:rPr>
                            <w:rFonts w:hint="eastAsia"/>
                          </w:rPr>
                          <w:t>现场巡视</w:t>
                        </w:r>
                      </w:p>
                      <w:p>
                        <w:r>
                          <w:rPr>
                            <w:rFonts w:hint="eastAsia"/>
                          </w:rPr>
                          <w:t>抽查记录</w:t>
                        </w:r>
                      </w:p>
                    </w:tc>
                    <w:tc>
                      <w:tcPr>
                        <w:tcW w:w="1559"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276" w:type="dxa"/>
                      </w:tcPr>
                      <w:p>
                        <w:r>
                          <w:rPr>
                            <w:rFonts w:hint="eastAsia"/>
                          </w:rPr>
                          <w:t>对质量目标/Cpk进行统计</w:t>
                        </w:r>
                      </w:p>
                    </w:tc>
                    <w:tc>
                      <w:tcPr>
                        <w:tcW w:w="329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r>
                          <w:rPr>
                            <w:rFonts w:hint="eastAsia"/>
                          </w:rPr>
                          <w:t>体系</w:t>
                        </w:r>
                      </w:p>
                    </w:tc>
                    <w:tc>
                      <w:tcPr>
                        <w:tcW w:w="1843" w:type="dxa"/>
                      </w:tcPr>
                      <w:p>
                        <w:r>
                          <w:rPr>
                            <w:rFonts w:hint="eastAsia"/>
                          </w:rPr>
                          <w:t>内部审核</w:t>
                        </w:r>
                      </w:p>
                    </w:tc>
                    <w:tc>
                      <w:tcPr>
                        <w:tcW w:w="1559"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276" w:type="dxa"/>
                      </w:tcPr>
                      <w:p>
                        <w:r>
                          <w:rPr>
                            <w:rFonts w:hint="eastAsia"/>
                          </w:rPr>
                          <w:t>对内审不符合项进行分析</w:t>
                        </w:r>
                      </w:p>
                    </w:tc>
                    <w:tc>
                      <w:tcPr>
                        <w:tcW w:w="329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r>
                          <w:rPr>
                            <w:rFonts w:hint="eastAsia"/>
                          </w:rPr>
                          <w:t>体系有效性</w:t>
                        </w:r>
                      </w:p>
                    </w:tc>
                    <w:tc>
                      <w:tcPr>
                        <w:tcW w:w="1843" w:type="dxa"/>
                      </w:tcPr>
                      <w:p>
                        <w:r>
                          <w:rPr>
                            <w:rFonts w:hint="eastAsia"/>
                          </w:rPr>
                          <w:t>管理评审</w:t>
                        </w:r>
                      </w:p>
                    </w:tc>
                    <w:tc>
                      <w:tcPr>
                        <w:tcW w:w="1559" w:type="dxa"/>
                      </w:tcPr>
                      <w:p>
                        <w:r>
                          <w:rPr>
                            <w:rFonts w:hint="eastAsia"/>
                            <w:color w:val="000000"/>
                            <w:szCs w:val="21"/>
                          </w:rPr>
                          <w:t>☑</w:t>
                        </w:r>
                        <w:r>
                          <w:rPr>
                            <w:rFonts w:hint="eastAsia"/>
                          </w:rPr>
                          <w:t>每年一次</w:t>
                        </w:r>
                      </w:p>
                      <w:p>
                        <w:r>
                          <w:rPr>
                            <w:rFonts w:hint="eastAsia"/>
                            <w:color w:val="000000"/>
                            <w:szCs w:val="21"/>
                          </w:rPr>
                          <w:t>□特殊情况增加</w:t>
                        </w:r>
                      </w:p>
                    </w:tc>
                    <w:tc>
                      <w:tcPr>
                        <w:tcW w:w="1276" w:type="dxa"/>
                      </w:tcPr>
                      <w:p>
                        <w:r>
                          <w:rPr>
                            <w:rFonts w:hint="eastAsia"/>
                          </w:rPr>
                          <w:t>对QMS存在的需要问题进行分析</w:t>
                        </w:r>
                      </w:p>
                    </w:tc>
                    <w:tc>
                      <w:tcPr>
                        <w:tcW w:w="329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r>
                          <w:rPr>
                            <w:rFonts w:hint="eastAsia"/>
                          </w:rPr>
                          <w:t>顾客满意</w:t>
                        </w:r>
                      </w:p>
                    </w:tc>
                    <w:tc>
                      <w:tcPr>
                        <w:tcW w:w="1843" w:type="dxa"/>
                      </w:tcPr>
                      <w:p>
                        <w:r>
                          <w:rPr>
                            <w:rFonts w:hint="eastAsia"/>
                          </w:rPr>
                          <w:t>问卷调查</w:t>
                        </w:r>
                      </w:p>
                    </w:tc>
                    <w:tc>
                      <w:tcPr>
                        <w:tcW w:w="1559" w:type="dxa"/>
                      </w:tcPr>
                      <w:p>
                        <w:r>
                          <w:rPr>
                            <w:rFonts w:hint="eastAsia"/>
                            <w:color w:val="000000"/>
                            <w:szCs w:val="21"/>
                          </w:rPr>
                          <w:t>☑</w:t>
                        </w:r>
                        <w:r>
                          <w:rPr>
                            <w:rFonts w:hint="eastAsia"/>
                          </w:rPr>
                          <w:t>每年一次</w:t>
                        </w:r>
                      </w:p>
                      <w:p>
                        <w:r>
                          <w:rPr>
                            <w:rFonts w:hint="eastAsia"/>
                            <w:color w:val="000000"/>
                            <w:szCs w:val="21"/>
                          </w:rPr>
                          <w:t>□</w:t>
                        </w:r>
                      </w:p>
                    </w:tc>
                    <w:tc>
                      <w:tcPr>
                        <w:tcW w:w="1276" w:type="dxa"/>
                      </w:tcPr>
                      <w:p>
                        <w:r>
                          <w:rPr>
                            <w:rFonts w:hint="eastAsia"/>
                          </w:rPr>
                          <w:t>对顾客满意率进行统计</w:t>
                        </w:r>
                      </w:p>
                    </w:tc>
                    <w:tc>
                      <w:tcPr>
                        <w:tcW w:w="329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pPr>
                    <w:rPr>
                      <w:highlight w:val="cyan"/>
                    </w:rPr>
                  </w:pPr>
                </w:p>
                <w:p/>
              </w:tc>
            </w:tr>
          </w:tbl>
          <w:p/>
        </w:tc>
        <w:tc>
          <w:tcPr>
            <w:tcW w:w="14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426" w:type="dxa"/>
          </w:tcPr>
          <w:p>
            <w:r>
              <w:rPr>
                <w:rFonts w:hint="eastAsia"/>
              </w:rPr>
              <w:t xml:space="preserve">如： </w:t>
            </w:r>
            <w:r>
              <w:rPr>
                <w:rFonts w:hint="eastAsia"/>
              </w:rPr>
              <w:sym w:font="Wingdings" w:char="00FE"/>
            </w:r>
            <w:r>
              <w:rPr>
                <w:rFonts w:hint="eastAsia"/>
              </w:rPr>
              <w:t xml:space="preserve">手册第9.3条款   </w:t>
            </w:r>
            <w:r>
              <w:rPr>
                <w:rFonts w:hint="eastAsia"/>
              </w:rPr>
              <w:sym w:font="Wingdings" w:char="00FE"/>
            </w:r>
            <w:r>
              <w:rPr>
                <w:rFonts w:hint="eastAsia"/>
              </w:rPr>
              <w:t>《管理评审程序》</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426"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4</w:t>
            </w:r>
            <w:r>
              <w:rPr>
                <w:rFonts w:hint="eastAsia"/>
                <w:color w:val="000000"/>
                <w:szCs w:val="18"/>
                <w:u w:val="single"/>
              </w:rPr>
              <w:t>月</w:t>
            </w:r>
            <w:r>
              <w:rPr>
                <w:color w:val="000000"/>
                <w:szCs w:val="18"/>
                <w:u w:val="single"/>
              </w:rPr>
              <w:t xml:space="preserve"> </w:t>
            </w:r>
            <w:r>
              <w:rPr>
                <w:rFonts w:hint="eastAsia"/>
                <w:color w:val="000000"/>
                <w:szCs w:val="18"/>
                <w:u w:val="single"/>
              </w:rPr>
              <w:t>2</w:t>
            </w:r>
            <w:r>
              <w:rPr>
                <w:color w:val="000000"/>
                <w:szCs w:val="18"/>
                <w:u w:val="single"/>
              </w:rPr>
              <w:t>5</w:t>
            </w:r>
            <w:r>
              <w:rPr>
                <w:rFonts w:hint="eastAsia"/>
                <w:color w:val="000000"/>
                <w:szCs w:val="18"/>
              </w:rPr>
              <w:t>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符合 □不符合</w:t>
                  </w:r>
                </w:p>
              </w:tc>
              <w:tc>
                <w:tcPr>
                  <w:tcW w:w="2816" w:type="dxa"/>
                </w:tcPr>
                <w:p>
                  <w:pPr>
                    <w:widowControl/>
                    <w:spacing w:before="40"/>
                    <w:jc w:val="left"/>
                    <w:rPr>
                      <w:szCs w:val="21"/>
                      <w:highlight w:val="cyan"/>
                    </w:rPr>
                  </w:pPr>
                  <w:r>
                    <w:rPr>
                      <w:rFonts w:hint="eastAsia"/>
                      <w:szCs w:val="21"/>
                    </w:rPr>
                    <w:t>培训已落实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完成质量目标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生产及质量目标达标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无质量投诉，内审不符合已改进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2021年至今目标我完成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进行供应商评鉴，合格供方未变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暂无</w:t>
                  </w:r>
                </w:p>
              </w:tc>
            </w:tr>
          </w:tbl>
          <w:p>
            <w:pPr>
              <w:widowControl/>
              <w:spacing w:before="40"/>
              <w:jc w:val="left"/>
              <w:rPr>
                <w:color w:val="000000"/>
                <w:szCs w:val="21"/>
                <w:highlight w:val="cya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widowControl/>
                    <w:spacing w:before="40"/>
                    <w:jc w:val="left"/>
                    <w:rPr>
                      <w:rFonts w:eastAsia="仿宋_GB2312"/>
                      <w:color w:val="000000"/>
                      <w:szCs w:val="21"/>
                    </w:rPr>
                  </w:pPr>
                  <w:r>
                    <w:rPr>
                      <w:rFonts w:hint="eastAsia" w:eastAsia="仿宋_GB2312"/>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highlight w:val="cyan"/>
              </w:rPr>
            </w:pP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pPr>
              <w:rPr>
                <w:color w:val="FF0000"/>
              </w:rPr>
            </w:pPr>
          </w:p>
        </w:tc>
        <w:tc>
          <w:tcPr>
            <w:tcW w:w="960" w:type="dxa"/>
            <w:vMerge w:val="restart"/>
          </w:tcPr>
          <w:p>
            <w:r>
              <w:rPr>
                <w:rFonts w:hint="eastAsia"/>
              </w:rPr>
              <w:t>Q9.1.1</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管理手册9.1.1章，</w:t>
            </w:r>
            <w:r>
              <w:rPr>
                <w:rFonts w:hint="eastAsia"/>
              </w:rPr>
              <w:sym w:font="Wingdings" w:char="00FE"/>
            </w:r>
            <w:r>
              <w:rPr>
                <w:rFonts w:hint="eastAsia"/>
              </w:rPr>
              <w:t>《监视、测量、分析和评价控制程序》</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rPr>
              <w:t>组织对监视和测量的策划</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监视和测量的对象</w:t>
                  </w:r>
                </w:p>
              </w:tc>
              <w:tc>
                <w:tcPr>
                  <w:tcW w:w="1843" w:type="dxa"/>
                </w:tcPr>
                <w:p>
                  <w:r>
                    <w:rPr>
                      <w:rFonts w:hint="eastAsia"/>
                    </w:rPr>
                    <w:t>监视、测量的方法</w:t>
                  </w:r>
                </w:p>
              </w:tc>
              <w:tc>
                <w:tcPr>
                  <w:tcW w:w="1986" w:type="dxa"/>
                </w:tcPr>
                <w:p>
                  <w:r>
                    <w:rPr>
                      <w:rFonts w:hint="eastAsia"/>
                    </w:rPr>
                    <w:t>监视和测量的频次和时机</w:t>
                  </w:r>
                </w:p>
              </w:tc>
              <w:tc>
                <w:tcPr>
                  <w:tcW w:w="1887" w:type="dxa"/>
                </w:tcPr>
                <w:p>
                  <w:r>
                    <w:rPr>
                      <w:rFonts w:hint="eastAsia"/>
                    </w:rPr>
                    <w:t>分析和评价的方法</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设计方案</w:t>
                  </w:r>
                </w:p>
              </w:tc>
              <w:tc>
                <w:tcPr>
                  <w:tcW w:w="1843" w:type="dxa"/>
                </w:tcPr>
                <w:p>
                  <w:r>
                    <w:rPr>
                      <w:rFonts w:hint="eastAsia"/>
                    </w:rPr>
                    <w:t>设计方案的达标率</w:t>
                  </w:r>
                </w:p>
              </w:tc>
              <w:tc>
                <w:tcPr>
                  <w:tcW w:w="1986" w:type="dxa"/>
                </w:tcPr>
                <w:p>
                  <w:r>
                    <w:rPr>
                      <w:rFonts w:hint="eastAsia"/>
                      <w:color w:val="000000"/>
                      <w:szCs w:val="21"/>
                    </w:rPr>
                    <w:t>□</w:t>
                  </w:r>
                  <w:r>
                    <w:rPr>
                      <w:rFonts w:hint="eastAsia"/>
                    </w:rPr>
                    <w:t>见检验计划/规程</w:t>
                  </w:r>
                  <w:r>
                    <w:rPr>
                      <w:rFonts w:ascii="Segoe UI Symbol" w:hAnsi="Segoe UI Symbol" w:cs="Segoe UI Symbol"/>
                      <w:color w:val="000000"/>
                      <w:szCs w:val="21"/>
                    </w:rPr>
                    <w:t>☑</w:t>
                  </w:r>
                  <w:r>
                    <w:rPr>
                      <w:rFonts w:hint="eastAsia" w:ascii="宋体" w:hAnsi="宋体" w:cs="宋体"/>
                      <w:color w:val="000000"/>
                      <w:szCs w:val="21"/>
                    </w:rPr>
                    <w:t>每批</w:t>
                  </w:r>
                </w:p>
              </w:tc>
              <w:tc>
                <w:tcPr>
                  <w:tcW w:w="1887" w:type="dxa"/>
                </w:tcPr>
                <w:p>
                  <w:r>
                    <w:rPr>
                      <w:rFonts w:hint="eastAsia"/>
                    </w:rPr>
                    <w:t>对产品合格率进行统计，</w:t>
                  </w:r>
                </w:p>
              </w:tc>
              <w:tc>
                <w:tcPr>
                  <w:tcW w:w="2034" w:type="dxa"/>
                </w:tcPr>
                <w:p>
                  <w:pPr>
                    <w:widowControl/>
                    <w:spacing w:before="40"/>
                    <w:jc w:val="left"/>
                    <w:rPr>
                      <w:color w:val="000000"/>
                      <w:szCs w:val="21"/>
                    </w:rPr>
                  </w:pPr>
                  <w:r>
                    <w:rPr>
                      <w:rFonts w:ascii="Segoe UI Symbol" w:hAnsi="Segoe UI Symbol" w:cs="Segoe UI Symbol"/>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过程</w:t>
                  </w:r>
                </w:p>
              </w:tc>
              <w:tc>
                <w:tcPr>
                  <w:tcW w:w="1843" w:type="dxa"/>
                </w:tcPr>
                <w:p>
                  <w:r>
                    <w:rPr>
                      <w:rFonts w:hint="eastAsia"/>
                    </w:rPr>
                    <w:t>现场巡视</w:t>
                  </w:r>
                </w:p>
                <w:p>
                  <w:r>
                    <w:rPr>
                      <w:rFonts w:hint="eastAsia"/>
                    </w:rPr>
                    <w:t>抽查记录</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对质量目标/Cpk进行统计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w:t>
                  </w:r>
                </w:p>
              </w:tc>
              <w:tc>
                <w:tcPr>
                  <w:tcW w:w="1843" w:type="dxa"/>
                </w:tcPr>
                <w:p>
                  <w:r>
                    <w:rPr>
                      <w:rFonts w:hint="eastAsia"/>
                    </w:rPr>
                    <w:t>内部审核</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对内审不符合项进行分析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体系有效性</w:t>
                  </w:r>
                </w:p>
              </w:tc>
              <w:tc>
                <w:tcPr>
                  <w:tcW w:w="1843" w:type="dxa"/>
                </w:tcPr>
                <w:p>
                  <w:r>
                    <w:rPr>
                      <w:rFonts w:hint="eastAsia"/>
                    </w:rPr>
                    <w:t>管理评审</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对QMS存在的需要问题进行分析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顾客满意</w:t>
                  </w:r>
                </w:p>
              </w:tc>
              <w:tc>
                <w:tcPr>
                  <w:tcW w:w="1843" w:type="dxa"/>
                </w:tcPr>
                <w:p>
                  <w:r>
                    <w:rPr>
                      <w:rFonts w:hint="eastAsia"/>
                    </w:rPr>
                    <w:t>问卷调查</w:t>
                  </w:r>
                </w:p>
              </w:tc>
              <w:tc>
                <w:tcPr>
                  <w:tcW w:w="1986" w:type="dxa"/>
                </w:tcPr>
                <w:p>
                  <w:r>
                    <w:rPr>
                      <w:rFonts w:hint="eastAsia"/>
                      <w:color w:val="000000"/>
                      <w:szCs w:val="21"/>
                    </w:rPr>
                    <w:t>☑</w:t>
                  </w:r>
                  <w:r>
                    <w:rPr>
                      <w:rFonts w:hint="eastAsia"/>
                    </w:rPr>
                    <w:t>每年一次</w:t>
                  </w:r>
                </w:p>
                <w:p>
                  <w:r>
                    <w:rPr>
                      <w:rFonts w:hint="eastAsia"/>
                      <w:color w:val="000000"/>
                      <w:szCs w:val="21"/>
                    </w:rPr>
                    <w:t>□</w:t>
                  </w:r>
                </w:p>
              </w:tc>
              <w:tc>
                <w:tcPr>
                  <w:tcW w:w="1887" w:type="dxa"/>
                </w:tcPr>
                <w:p>
                  <w:r>
                    <w:rPr>
                      <w:rFonts w:hint="eastAsia"/>
                    </w:rPr>
                    <w:t>对顾客满意率进行统计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pPr>
              <w:rPr>
                <w:highlight w:val="cyan"/>
              </w:rPr>
            </w:pPr>
          </w:p>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管理手册10.1章</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41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p/>
        </w:tc>
        <w:tc>
          <w:tcPr>
            <w:tcW w:w="960" w:type="dxa"/>
            <w:vMerge w:val="restart"/>
          </w:tcPr>
          <w:p>
            <w:r>
              <w:rPr>
                <w:rFonts w:hint="eastAsia"/>
              </w:rPr>
              <w:t>Q10.3</w:t>
            </w:r>
          </w:p>
        </w:tc>
        <w:tc>
          <w:tcPr>
            <w:tcW w:w="745" w:type="dxa"/>
          </w:tcPr>
          <w:p>
            <w:r>
              <w:rPr>
                <w:rFonts w:hint="eastAsia"/>
              </w:rPr>
              <w:t>文件名称</w:t>
            </w:r>
          </w:p>
        </w:tc>
        <w:tc>
          <w:tcPr>
            <w:tcW w:w="9426" w:type="dxa"/>
          </w:tcPr>
          <w:p>
            <w:r>
              <w:rPr>
                <w:rFonts w:hint="eastAsia"/>
              </w:rPr>
              <w:t>如：</w:t>
            </w:r>
            <w:r>
              <w:rPr>
                <w:rFonts w:hint="eastAsia"/>
              </w:rPr>
              <w:sym w:font="Wingdings" w:char="00FE"/>
            </w:r>
            <w:r>
              <w:rPr>
                <w:rFonts w:hint="eastAsia"/>
              </w:rPr>
              <w:t>管理手册10.3章</w:t>
            </w:r>
          </w:p>
        </w:tc>
        <w:tc>
          <w:tcPr>
            <w:tcW w:w="1418"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426"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r>
              <w:rPr>
                <w:rFonts w:hint="eastAsia"/>
                <w:u w:val="single"/>
              </w:rPr>
              <w:t xml:space="preserve">                              </w:t>
            </w:r>
          </w:p>
          <w:p/>
        </w:tc>
        <w:tc>
          <w:tcPr>
            <w:tcW w:w="1418" w:type="dxa"/>
            <w:vMerge w:val="continue"/>
          </w:tcP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_x0000_s2049" o:spid="_x0000_s2049"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600D"/>
    <w:rsid w:val="000237F6"/>
    <w:rsid w:val="0003373A"/>
    <w:rsid w:val="00035603"/>
    <w:rsid w:val="000400E2"/>
    <w:rsid w:val="0004335C"/>
    <w:rsid w:val="00043671"/>
    <w:rsid w:val="000440D0"/>
    <w:rsid w:val="00047F85"/>
    <w:rsid w:val="00052E9F"/>
    <w:rsid w:val="00062E46"/>
    <w:rsid w:val="000662D4"/>
    <w:rsid w:val="0008092F"/>
    <w:rsid w:val="00097D43"/>
    <w:rsid w:val="000A2303"/>
    <w:rsid w:val="000A3D35"/>
    <w:rsid w:val="000B3121"/>
    <w:rsid w:val="000C7BC8"/>
    <w:rsid w:val="000D09E0"/>
    <w:rsid w:val="000E6B21"/>
    <w:rsid w:val="00140410"/>
    <w:rsid w:val="00163698"/>
    <w:rsid w:val="00181AC2"/>
    <w:rsid w:val="00194580"/>
    <w:rsid w:val="001A14FF"/>
    <w:rsid w:val="001A2D7F"/>
    <w:rsid w:val="001A3ECF"/>
    <w:rsid w:val="001C109E"/>
    <w:rsid w:val="001C1EEC"/>
    <w:rsid w:val="001C5D30"/>
    <w:rsid w:val="001D485A"/>
    <w:rsid w:val="001D6BE3"/>
    <w:rsid w:val="001F60EF"/>
    <w:rsid w:val="001F74D3"/>
    <w:rsid w:val="0020368E"/>
    <w:rsid w:val="002054BE"/>
    <w:rsid w:val="00214705"/>
    <w:rsid w:val="00226071"/>
    <w:rsid w:val="00257414"/>
    <w:rsid w:val="0026374E"/>
    <w:rsid w:val="002703A1"/>
    <w:rsid w:val="0027174E"/>
    <w:rsid w:val="00285F78"/>
    <w:rsid w:val="00287984"/>
    <w:rsid w:val="002939AD"/>
    <w:rsid w:val="002A57FE"/>
    <w:rsid w:val="002B46B2"/>
    <w:rsid w:val="002B5153"/>
    <w:rsid w:val="002B5D73"/>
    <w:rsid w:val="002F50FB"/>
    <w:rsid w:val="002F6A07"/>
    <w:rsid w:val="0030728E"/>
    <w:rsid w:val="00314AF6"/>
    <w:rsid w:val="00315FCF"/>
    <w:rsid w:val="0032303B"/>
    <w:rsid w:val="00327ADB"/>
    <w:rsid w:val="00337922"/>
    <w:rsid w:val="00340867"/>
    <w:rsid w:val="0034330B"/>
    <w:rsid w:val="0034540D"/>
    <w:rsid w:val="00350ACE"/>
    <w:rsid w:val="00352589"/>
    <w:rsid w:val="003714F4"/>
    <w:rsid w:val="00371EFE"/>
    <w:rsid w:val="00380837"/>
    <w:rsid w:val="00382304"/>
    <w:rsid w:val="00394913"/>
    <w:rsid w:val="003A198A"/>
    <w:rsid w:val="003A45CD"/>
    <w:rsid w:val="003C2D4F"/>
    <w:rsid w:val="003C5C19"/>
    <w:rsid w:val="003D4553"/>
    <w:rsid w:val="003D7C45"/>
    <w:rsid w:val="003F570E"/>
    <w:rsid w:val="00404D55"/>
    <w:rsid w:val="00410914"/>
    <w:rsid w:val="00414D9F"/>
    <w:rsid w:val="00415127"/>
    <w:rsid w:val="00417490"/>
    <w:rsid w:val="00420D6F"/>
    <w:rsid w:val="00434AC6"/>
    <w:rsid w:val="00446D17"/>
    <w:rsid w:val="004509F8"/>
    <w:rsid w:val="00457643"/>
    <w:rsid w:val="00457A63"/>
    <w:rsid w:val="00465CC3"/>
    <w:rsid w:val="0048136F"/>
    <w:rsid w:val="00481FFE"/>
    <w:rsid w:val="0048201E"/>
    <w:rsid w:val="004858C4"/>
    <w:rsid w:val="00493B29"/>
    <w:rsid w:val="004950B6"/>
    <w:rsid w:val="004A24D7"/>
    <w:rsid w:val="004A7529"/>
    <w:rsid w:val="004B16EC"/>
    <w:rsid w:val="004B2CB9"/>
    <w:rsid w:val="004D52BF"/>
    <w:rsid w:val="00531604"/>
    <w:rsid w:val="00536930"/>
    <w:rsid w:val="005467CF"/>
    <w:rsid w:val="00564E53"/>
    <w:rsid w:val="005666A1"/>
    <w:rsid w:val="00567CED"/>
    <w:rsid w:val="00573CF9"/>
    <w:rsid w:val="00587CF1"/>
    <w:rsid w:val="00592201"/>
    <w:rsid w:val="00597C92"/>
    <w:rsid w:val="005B20BD"/>
    <w:rsid w:val="005B65F0"/>
    <w:rsid w:val="005C1D19"/>
    <w:rsid w:val="005C6D49"/>
    <w:rsid w:val="005D096A"/>
    <w:rsid w:val="005D31E8"/>
    <w:rsid w:val="005D5659"/>
    <w:rsid w:val="005F7F3A"/>
    <w:rsid w:val="00600C20"/>
    <w:rsid w:val="006101FE"/>
    <w:rsid w:val="006216B2"/>
    <w:rsid w:val="00623CC4"/>
    <w:rsid w:val="0062587A"/>
    <w:rsid w:val="00644FE2"/>
    <w:rsid w:val="006624A5"/>
    <w:rsid w:val="00667C25"/>
    <w:rsid w:val="006758F6"/>
    <w:rsid w:val="0067640C"/>
    <w:rsid w:val="0068327D"/>
    <w:rsid w:val="00693B80"/>
    <w:rsid w:val="006A34B6"/>
    <w:rsid w:val="006C3622"/>
    <w:rsid w:val="006C5364"/>
    <w:rsid w:val="006C5C0A"/>
    <w:rsid w:val="006C61C7"/>
    <w:rsid w:val="006C6629"/>
    <w:rsid w:val="006E10C7"/>
    <w:rsid w:val="006E678B"/>
    <w:rsid w:val="006E7B1D"/>
    <w:rsid w:val="006F71D8"/>
    <w:rsid w:val="00716E2A"/>
    <w:rsid w:val="007342EA"/>
    <w:rsid w:val="00741AD2"/>
    <w:rsid w:val="00751FB9"/>
    <w:rsid w:val="007757F3"/>
    <w:rsid w:val="00792035"/>
    <w:rsid w:val="007C1B48"/>
    <w:rsid w:val="007C4A11"/>
    <w:rsid w:val="007E3B15"/>
    <w:rsid w:val="007E6AEB"/>
    <w:rsid w:val="00810FA8"/>
    <w:rsid w:val="00815D94"/>
    <w:rsid w:val="00831CF8"/>
    <w:rsid w:val="008427E6"/>
    <w:rsid w:val="00851400"/>
    <w:rsid w:val="00864668"/>
    <w:rsid w:val="00865758"/>
    <w:rsid w:val="008807D4"/>
    <w:rsid w:val="008862CE"/>
    <w:rsid w:val="00891A75"/>
    <w:rsid w:val="008973EE"/>
    <w:rsid w:val="008E3BCD"/>
    <w:rsid w:val="008F78C0"/>
    <w:rsid w:val="00924712"/>
    <w:rsid w:val="00937EB2"/>
    <w:rsid w:val="00951CE6"/>
    <w:rsid w:val="009626D1"/>
    <w:rsid w:val="0096433A"/>
    <w:rsid w:val="00971600"/>
    <w:rsid w:val="00985F96"/>
    <w:rsid w:val="009942D2"/>
    <w:rsid w:val="009973B4"/>
    <w:rsid w:val="009C0920"/>
    <w:rsid w:val="009C10D7"/>
    <w:rsid w:val="009C28C1"/>
    <w:rsid w:val="009C3C9F"/>
    <w:rsid w:val="009D32F4"/>
    <w:rsid w:val="009E0958"/>
    <w:rsid w:val="009F7EED"/>
    <w:rsid w:val="00A006D5"/>
    <w:rsid w:val="00A015C2"/>
    <w:rsid w:val="00A4750E"/>
    <w:rsid w:val="00A5770F"/>
    <w:rsid w:val="00A62846"/>
    <w:rsid w:val="00A80636"/>
    <w:rsid w:val="00A863B5"/>
    <w:rsid w:val="00A92149"/>
    <w:rsid w:val="00AD3B58"/>
    <w:rsid w:val="00AE2104"/>
    <w:rsid w:val="00AF0AAB"/>
    <w:rsid w:val="00B17DF7"/>
    <w:rsid w:val="00B2425F"/>
    <w:rsid w:val="00B260F9"/>
    <w:rsid w:val="00B36FE0"/>
    <w:rsid w:val="00B37A52"/>
    <w:rsid w:val="00B5166F"/>
    <w:rsid w:val="00B552DE"/>
    <w:rsid w:val="00B5718A"/>
    <w:rsid w:val="00B607CC"/>
    <w:rsid w:val="00B664BD"/>
    <w:rsid w:val="00BA25D3"/>
    <w:rsid w:val="00BA2782"/>
    <w:rsid w:val="00BA4ABC"/>
    <w:rsid w:val="00BA51AD"/>
    <w:rsid w:val="00BA62A5"/>
    <w:rsid w:val="00BB2F46"/>
    <w:rsid w:val="00BD41CF"/>
    <w:rsid w:val="00BD55F8"/>
    <w:rsid w:val="00BD7F8E"/>
    <w:rsid w:val="00BF597E"/>
    <w:rsid w:val="00C0101A"/>
    <w:rsid w:val="00C3300E"/>
    <w:rsid w:val="00C51A36"/>
    <w:rsid w:val="00C5281C"/>
    <w:rsid w:val="00C52F67"/>
    <w:rsid w:val="00C55228"/>
    <w:rsid w:val="00C63768"/>
    <w:rsid w:val="00C64956"/>
    <w:rsid w:val="00C8369A"/>
    <w:rsid w:val="00C83833"/>
    <w:rsid w:val="00CA6143"/>
    <w:rsid w:val="00CB0C6D"/>
    <w:rsid w:val="00CB6059"/>
    <w:rsid w:val="00CD5500"/>
    <w:rsid w:val="00CE315A"/>
    <w:rsid w:val="00D06F59"/>
    <w:rsid w:val="00D15794"/>
    <w:rsid w:val="00D2392F"/>
    <w:rsid w:val="00D2679B"/>
    <w:rsid w:val="00D56177"/>
    <w:rsid w:val="00D60790"/>
    <w:rsid w:val="00D75148"/>
    <w:rsid w:val="00D8388C"/>
    <w:rsid w:val="00D85C47"/>
    <w:rsid w:val="00D8636C"/>
    <w:rsid w:val="00D91251"/>
    <w:rsid w:val="00D93B29"/>
    <w:rsid w:val="00DA1D96"/>
    <w:rsid w:val="00DB644A"/>
    <w:rsid w:val="00DC0E98"/>
    <w:rsid w:val="00DC1BCC"/>
    <w:rsid w:val="00E01A7B"/>
    <w:rsid w:val="00E14A4F"/>
    <w:rsid w:val="00E41814"/>
    <w:rsid w:val="00E4480A"/>
    <w:rsid w:val="00E44D68"/>
    <w:rsid w:val="00E4608B"/>
    <w:rsid w:val="00E6224C"/>
    <w:rsid w:val="00E67769"/>
    <w:rsid w:val="00E742CF"/>
    <w:rsid w:val="00EA05F9"/>
    <w:rsid w:val="00EA450A"/>
    <w:rsid w:val="00EB0164"/>
    <w:rsid w:val="00EB7075"/>
    <w:rsid w:val="00EC5616"/>
    <w:rsid w:val="00ED0F62"/>
    <w:rsid w:val="00EE0452"/>
    <w:rsid w:val="00F06441"/>
    <w:rsid w:val="00F113C1"/>
    <w:rsid w:val="00F21EF6"/>
    <w:rsid w:val="00F221BB"/>
    <w:rsid w:val="00F372EF"/>
    <w:rsid w:val="00F4680C"/>
    <w:rsid w:val="00F532A7"/>
    <w:rsid w:val="00F60867"/>
    <w:rsid w:val="00F63ECA"/>
    <w:rsid w:val="00F70423"/>
    <w:rsid w:val="00F933DA"/>
    <w:rsid w:val="00F9771E"/>
    <w:rsid w:val="00FC2BC0"/>
    <w:rsid w:val="00FD7A10"/>
    <w:rsid w:val="00FD7DF4"/>
    <w:rsid w:val="00FF39C3"/>
    <w:rsid w:val="00FF7401"/>
    <w:rsid w:val="01260C71"/>
    <w:rsid w:val="01A321D9"/>
    <w:rsid w:val="01E27364"/>
    <w:rsid w:val="01FE18C8"/>
    <w:rsid w:val="02797701"/>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120187"/>
    <w:rsid w:val="094663BE"/>
    <w:rsid w:val="096333C5"/>
    <w:rsid w:val="09933EF9"/>
    <w:rsid w:val="09AA0CA5"/>
    <w:rsid w:val="09FA6045"/>
    <w:rsid w:val="0A0F142E"/>
    <w:rsid w:val="0A1C56C1"/>
    <w:rsid w:val="0A8709B9"/>
    <w:rsid w:val="0A904067"/>
    <w:rsid w:val="0AAB13CF"/>
    <w:rsid w:val="0ACA6ED2"/>
    <w:rsid w:val="0AEF4D8D"/>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0E0601"/>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E341B9"/>
    <w:rsid w:val="16F10A78"/>
    <w:rsid w:val="1712627E"/>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5DF4228"/>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7B2F69"/>
    <w:rsid w:val="38803663"/>
    <w:rsid w:val="389A539F"/>
    <w:rsid w:val="38B37216"/>
    <w:rsid w:val="38BD5C7F"/>
    <w:rsid w:val="38C5580C"/>
    <w:rsid w:val="38EC325F"/>
    <w:rsid w:val="39090322"/>
    <w:rsid w:val="39286E54"/>
    <w:rsid w:val="399117DD"/>
    <w:rsid w:val="39972637"/>
    <w:rsid w:val="39D7104B"/>
    <w:rsid w:val="3A3E0D9F"/>
    <w:rsid w:val="3A5573DE"/>
    <w:rsid w:val="3AAB1306"/>
    <w:rsid w:val="3ABD0173"/>
    <w:rsid w:val="3ACE23E2"/>
    <w:rsid w:val="3B227AA7"/>
    <w:rsid w:val="3B4241C0"/>
    <w:rsid w:val="3B5F0280"/>
    <w:rsid w:val="3B766B2F"/>
    <w:rsid w:val="3B8C1823"/>
    <w:rsid w:val="3BCD5A20"/>
    <w:rsid w:val="3BEE1D6F"/>
    <w:rsid w:val="3BF1473C"/>
    <w:rsid w:val="3CA475E5"/>
    <w:rsid w:val="3CA717F2"/>
    <w:rsid w:val="3CC56579"/>
    <w:rsid w:val="3CEB2CC9"/>
    <w:rsid w:val="3D053E44"/>
    <w:rsid w:val="3D721433"/>
    <w:rsid w:val="3D7C5D45"/>
    <w:rsid w:val="3DA34201"/>
    <w:rsid w:val="3DAB460B"/>
    <w:rsid w:val="3DDA7DB2"/>
    <w:rsid w:val="3DF92E01"/>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27C46"/>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E12402"/>
    <w:rsid w:val="4CFB4E3C"/>
    <w:rsid w:val="4D352804"/>
    <w:rsid w:val="4D791805"/>
    <w:rsid w:val="4D8F2F88"/>
    <w:rsid w:val="4DB86BCB"/>
    <w:rsid w:val="4DD85058"/>
    <w:rsid w:val="4E0166A9"/>
    <w:rsid w:val="4E1551DB"/>
    <w:rsid w:val="4E7774D0"/>
    <w:rsid w:val="4F594843"/>
    <w:rsid w:val="4FAF3052"/>
    <w:rsid w:val="503C3BCC"/>
    <w:rsid w:val="505C4971"/>
    <w:rsid w:val="50C41CF1"/>
    <w:rsid w:val="51217DA6"/>
    <w:rsid w:val="51294703"/>
    <w:rsid w:val="51425A27"/>
    <w:rsid w:val="5158757E"/>
    <w:rsid w:val="521A5D1E"/>
    <w:rsid w:val="523624DE"/>
    <w:rsid w:val="52A23F56"/>
    <w:rsid w:val="52BA5471"/>
    <w:rsid w:val="52D871F4"/>
    <w:rsid w:val="52F263D6"/>
    <w:rsid w:val="52F569F3"/>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06254B"/>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9E6788"/>
    <w:rsid w:val="66B368AE"/>
    <w:rsid w:val="66B532F3"/>
    <w:rsid w:val="66C2760F"/>
    <w:rsid w:val="675A3B6C"/>
    <w:rsid w:val="677C2796"/>
    <w:rsid w:val="67AF7DB6"/>
    <w:rsid w:val="680564C6"/>
    <w:rsid w:val="681B3F7A"/>
    <w:rsid w:val="68233428"/>
    <w:rsid w:val="684B51CE"/>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35CE4"/>
    <w:rsid w:val="6BFE32FF"/>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0564A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4B64014"/>
    <w:rsid w:val="753E2D2E"/>
    <w:rsid w:val="75950E53"/>
    <w:rsid w:val="75B91B9C"/>
    <w:rsid w:val="75DB13A5"/>
    <w:rsid w:val="75E00376"/>
    <w:rsid w:val="75E552E3"/>
    <w:rsid w:val="762E2DED"/>
    <w:rsid w:val="7648538B"/>
    <w:rsid w:val="76577132"/>
    <w:rsid w:val="76BD747C"/>
    <w:rsid w:val="76CD52EB"/>
    <w:rsid w:val="76FE004A"/>
    <w:rsid w:val="771B17CC"/>
    <w:rsid w:val="77462C4C"/>
    <w:rsid w:val="77A268F6"/>
    <w:rsid w:val="77CC3658"/>
    <w:rsid w:val="77E263F9"/>
    <w:rsid w:val="780F54C3"/>
    <w:rsid w:val="782C6CF7"/>
    <w:rsid w:val="78680ECD"/>
    <w:rsid w:val="7880670B"/>
    <w:rsid w:val="78A25951"/>
    <w:rsid w:val="78A35FE5"/>
    <w:rsid w:val="78C4002B"/>
    <w:rsid w:val="78E96823"/>
    <w:rsid w:val="78EE7F5B"/>
    <w:rsid w:val="78F11CE1"/>
    <w:rsid w:val="78F66955"/>
    <w:rsid w:val="78F8423B"/>
    <w:rsid w:val="79053EDA"/>
    <w:rsid w:val="79097264"/>
    <w:rsid w:val="791D3993"/>
    <w:rsid w:val="79202162"/>
    <w:rsid w:val="7924138B"/>
    <w:rsid w:val="79826449"/>
    <w:rsid w:val="79B34208"/>
    <w:rsid w:val="79D339B9"/>
    <w:rsid w:val="7A200C95"/>
    <w:rsid w:val="7A594332"/>
    <w:rsid w:val="7A8564DB"/>
    <w:rsid w:val="7AC22B97"/>
    <w:rsid w:val="7B190280"/>
    <w:rsid w:val="7B1F77A4"/>
    <w:rsid w:val="7B292799"/>
    <w:rsid w:val="7C090682"/>
    <w:rsid w:val="7C183634"/>
    <w:rsid w:val="7C351D89"/>
    <w:rsid w:val="7C6A6CA8"/>
    <w:rsid w:val="7C9307A3"/>
    <w:rsid w:val="7CAB39C4"/>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1040</Words>
  <Characters>5929</Characters>
  <Lines>49</Lines>
  <Paragraphs>13</Paragraphs>
  <TotalTime>202</TotalTime>
  <ScaleCrop>false</ScaleCrop>
  <LinksUpToDate>false</LinksUpToDate>
  <CharactersWithSpaces>6956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2020-05-21T17:17:00Z</dcterms:created>
  <dc:creator>微软用户</dc:creator>
  <cp:lastModifiedBy>lenovo</cp:lastModifiedBy>
  <dcterms:modified xsi:type="dcterms:W3CDTF">2021-07-10T17:58:14Z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537AC59686D74FA3A27B583347DF5C09</vt:lpwstr>
  </property>
</Properties>
</file>