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sz w:val="24"/>
                <w:szCs w:val="24"/>
                <w:highlight w:val="none"/>
              </w:rPr>
              <w:t xml:space="preserve"> </w:t>
            </w:r>
            <w:r>
              <w:rPr>
                <w:rFonts w:hint="eastAsia"/>
                <w:sz w:val="24"/>
                <w:szCs w:val="24"/>
                <w:highlight w:val="none"/>
              </w:rPr>
              <w:t>陪同人员：</w:t>
            </w:r>
            <w:r>
              <w:rPr>
                <w:rFonts w:hint="eastAsia"/>
                <w:sz w:val="24"/>
                <w:szCs w:val="24"/>
                <w:highlight w:val="none"/>
                <w:lang w:val="en-US" w:eastAsia="zh-CN"/>
              </w:rPr>
              <w:t>江晨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张磊</w:t>
            </w:r>
            <w:r>
              <w:rPr>
                <w:rFonts w:hint="eastAsia"/>
                <w:sz w:val="24"/>
                <w:szCs w:val="24"/>
              </w:rPr>
              <w:t xml:space="preserve"> </w:t>
            </w:r>
            <w:r>
              <w:rPr>
                <w:sz w:val="24"/>
                <w:szCs w:val="24"/>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2021-04-25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sz w:val="24"/>
                <w:szCs w:val="24"/>
              </w:rPr>
            </w:pPr>
            <w:r>
              <w:rPr>
                <w:rFonts w:hint="eastAsia"/>
                <w:sz w:val="24"/>
                <w:szCs w:val="24"/>
              </w:rPr>
              <w:t>审核条款：</w:t>
            </w:r>
            <w:r>
              <w:rPr>
                <w:szCs w:val="21"/>
              </w:rPr>
              <w:t>OHS:4.1/4.2/4.3/4.4/5.1/5.2/5.3/5.4/6.1</w:t>
            </w:r>
            <w:r>
              <w:rPr>
                <w:rFonts w:hint="eastAsia"/>
                <w:szCs w:val="21"/>
              </w:rPr>
              <w:t>.1</w:t>
            </w:r>
            <w:r>
              <w:rPr>
                <w:szCs w:val="21"/>
              </w:rPr>
              <w:t>/6.2/7.1/9.1.1/9.3/10.1/10.3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理解组织及其所处的环境</w:t>
            </w:r>
          </w:p>
        </w:tc>
        <w:tc>
          <w:tcPr>
            <w:tcW w:w="960" w:type="dxa"/>
            <w:vMerge w:val="restart"/>
          </w:tcPr>
          <w:p>
            <w:r>
              <w:rPr>
                <w:rFonts w:hint="eastAsia"/>
              </w:rPr>
              <w:t>O4.1</w:t>
            </w:r>
          </w:p>
        </w:tc>
        <w:tc>
          <w:tcPr>
            <w:tcW w:w="745" w:type="dxa"/>
          </w:tcPr>
          <w:p>
            <w:r>
              <w:rPr>
                <w:rFonts w:hint="eastAsia"/>
              </w:rPr>
              <w:t>文件名称</w:t>
            </w:r>
          </w:p>
        </w:tc>
        <w:tc>
          <w:tcPr>
            <w:tcW w:w="9259" w:type="dxa"/>
            <w:vAlign w:val="center"/>
          </w:tcPr>
          <w:p>
            <w:r>
              <w:rPr>
                <w:rFonts w:hint="eastAsia"/>
              </w:rPr>
              <w:t>如：管理手册第4.1章、</w:t>
            </w:r>
            <w:r>
              <w:rPr>
                <w:rFonts w:hint="eastAsia"/>
                <w:szCs w:val="22"/>
              </w:rPr>
              <w:t>《危险有害因素识别、评价与更新程序》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szCs w:val="21"/>
              </w:rPr>
              <w:t xml:space="preserve"> 与最高管理者沟通：</w:t>
            </w:r>
          </w:p>
          <w:tbl>
            <w:tblPr>
              <w:tblStyle w:val="8"/>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rPr>
                    <w:t>外部议题</w:t>
                  </w:r>
                </w:p>
              </w:tc>
              <w:tc>
                <w:tcPr>
                  <w:tcW w:w="6980" w:type="dxa"/>
                </w:tcPr>
                <w:p>
                  <w:r>
                    <w:rPr>
                      <w:rFonts w:hint="eastAsia"/>
                    </w:rPr>
                    <w:t>☑</w:t>
                  </w:r>
                  <w:r>
                    <w:rPr>
                      <w:rFonts w:hint="eastAsia" w:ascii="宋体" w:hAnsi="宋体"/>
                      <w:szCs w:val="21"/>
                    </w:rPr>
                    <w:t>法律环境</w:t>
                  </w:r>
                  <w:r>
                    <w:rPr>
                      <w:rFonts w:hint="eastAsia"/>
                    </w:rPr>
                    <w:t xml:space="preserve"> ☑社会☑ 政治法律☑经济环境 ☑市场</w:t>
                  </w:r>
                  <w:r>
                    <w:rPr>
                      <w:rFonts w:hint="eastAsia"/>
                      <w:lang w:val="en-US" w:eastAsia="zh-CN"/>
                    </w:rPr>
                    <w:t>竞争</w:t>
                  </w:r>
                  <w:r>
                    <w:rPr>
                      <w:rFonts w:hint="eastAsia"/>
                    </w:rPr>
                    <w:t xml:space="preserve"> ☑周边自然环境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rPr>
                    <w:t>列举主要的内容</w:t>
                  </w:r>
                </w:p>
              </w:tc>
              <w:tc>
                <w:tcPr>
                  <w:tcW w:w="6980" w:type="dxa"/>
                </w:tcPr>
                <w:p>
                  <w:r>
                    <w:rPr>
                      <w:rFonts w:hint="eastAsia" w:ascii="宋体" w:hAnsi="宋体"/>
                      <w:szCs w:val="21"/>
                    </w:rPr>
                    <w:t>中国目前法制建设很快，法律法规要求越来越完善。《安全生产法》要求企业生产安全管理，企业可以加强管理，减少或杜绝工伤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rPr>
                    <w:t>内部议题</w:t>
                  </w:r>
                </w:p>
              </w:tc>
              <w:tc>
                <w:tcPr>
                  <w:tcW w:w="6980" w:type="dxa"/>
                </w:tcPr>
                <w:p>
                  <w:r>
                    <w:rPr>
                      <w:rFonts w:hint="eastAsia"/>
                    </w:rPr>
                    <w:t>☑财务资源 ☑人员能力 ☑企业文化 ☑价值观 ☑知识 ☑绩效  ☑</w:t>
                  </w:r>
                  <w:r>
                    <w:rPr>
                      <w:rFonts w:hint="eastAsia"/>
                      <w:lang w:val="en-US" w:eastAsia="zh-CN"/>
                    </w:rPr>
                    <w:t>运营</w:t>
                  </w:r>
                  <w:r>
                    <w:rPr>
                      <w:rFonts w:hint="eastAsia"/>
                    </w:rPr>
                    <w:t xml:space="preserve"> </w:t>
                  </w:r>
                  <w:r>
                    <w:t xml:space="preserve"> </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rPr>
                    <w:t>列举主要的内容</w:t>
                  </w:r>
                </w:p>
              </w:tc>
              <w:tc>
                <w:tcPr>
                  <w:tcW w:w="6980" w:type="dxa"/>
                  <w:vAlign w:val="center"/>
                </w:tcPr>
                <w:p>
                  <w:r>
                    <w:rPr>
                      <w:rFonts w:hint="eastAsia" w:ascii="宋体" w:hAnsi="宋体" w:cs="宋体"/>
                      <w:szCs w:val="21"/>
                    </w:rPr>
                    <w:t>建立了知识收集和宣导的渠道，确保能够获得必要的知识并在内部宣导。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szCs w:val="21"/>
                    </w:rPr>
                    <w:t>组织优势说明</w:t>
                  </w:r>
                </w:p>
              </w:tc>
              <w:tc>
                <w:tcPr>
                  <w:tcW w:w="6980" w:type="dxa"/>
                  <w:vAlign w:val="center"/>
                </w:tcPr>
                <w:p>
                  <w:pPr>
                    <w:rPr>
                      <w:rFonts w:hint="default" w:eastAsia="宋体"/>
                      <w:lang w:val="en-US" w:eastAsia="zh-CN"/>
                    </w:rPr>
                  </w:pPr>
                  <w:r>
                    <w:rPr>
                      <w:rFonts w:hint="eastAsia"/>
                    </w:rPr>
                    <w:t>资质齐全，</w:t>
                  </w:r>
                  <w:r>
                    <w:rPr>
                      <w:rFonts w:hint="eastAsia"/>
                      <w:lang w:val="en-US" w:eastAsia="zh-CN"/>
                    </w:rPr>
                    <w:t>设计开发人员均在室内办公，人身健康安全影响小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szCs w:val="21"/>
                    </w:rPr>
                    <w:t>组织劣势说明</w:t>
                  </w:r>
                </w:p>
              </w:tc>
              <w:tc>
                <w:tcPr>
                  <w:tcW w:w="6980" w:type="dxa"/>
                  <w:vAlign w:val="center"/>
                </w:tcPr>
                <w:p>
                  <w:pPr>
                    <w:rPr>
                      <w:rFonts w:hint="default" w:eastAsia="宋体"/>
                      <w:lang w:val="en-US" w:eastAsia="zh-CN"/>
                    </w:rPr>
                  </w:pPr>
                  <w:r>
                    <w:rPr>
                      <w:rFonts w:hint="eastAsia"/>
                      <w:lang w:val="en-US" w:eastAsia="zh-CN"/>
                    </w:rPr>
                    <w:t>长期面对电脑，容易引发职业病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szCs w:val="21"/>
                    </w:rPr>
                    <w:t>主要风险的说明</w:t>
                  </w:r>
                </w:p>
              </w:tc>
              <w:tc>
                <w:tcPr>
                  <w:tcW w:w="6980" w:type="dxa"/>
                  <w:vAlign w:val="center"/>
                </w:tcPr>
                <w:p>
                  <w:r>
                    <w:rPr>
                      <w:rFonts w:hint="eastAsia"/>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szCs w:val="21"/>
                    </w:rPr>
                    <w:t>机遇的说明</w:t>
                  </w:r>
                </w:p>
              </w:tc>
              <w:tc>
                <w:tcPr>
                  <w:tcW w:w="6980" w:type="dxa"/>
                  <w:vAlign w:val="center"/>
                </w:tcPr>
                <w:p>
                  <w:r>
                    <w:rPr>
                      <w:rFonts w:hint="eastAsia"/>
                    </w:rPr>
                    <w:t>加强职业健康安全控制，防范各类事故的发生</w:t>
                  </w:r>
                </w:p>
              </w:tc>
            </w:tr>
          </w:tbl>
          <w:p>
            <w:pPr>
              <w:rPr>
                <w:szCs w:val="21"/>
              </w:rPr>
            </w:pPr>
          </w:p>
          <w:p>
            <w:pPr>
              <w:rPr>
                <w:szCs w:val="21"/>
              </w:rPr>
            </w:pPr>
            <w:r>
              <w:rPr>
                <w:rFonts w:hint="eastAsia"/>
                <w:szCs w:val="21"/>
              </w:rPr>
              <w:t>主要证据体现在</w:t>
            </w:r>
            <w:r>
              <w:rPr>
                <w:rFonts w:hint="eastAsia"/>
              </w:rPr>
              <w:t xml:space="preserve"> </w:t>
            </w:r>
            <w:r>
              <w:rPr>
                <w:rFonts w:hint="eastAsia"/>
              </w:rPr>
              <w:sym w:font="Wingdings" w:char="00FE"/>
            </w:r>
            <w:r>
              <w:rPr>
                <w:rFonts w:hint="eastAsia"/>
              </w:rPr>
              <w:t xml:space="preserve">《组织内外部环境识别表》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ascii="Arial" w:hAnsi="Arial"/>
              </w:rPr>
            </w:pPr>
            <w:bookmarkStart w:id="0" w:name="_Toc17985659"/>
            <w:r>
              <w:rPr>
                <w:rFonts w:hint="eastAsia" w:ascii="Arial" w:hAnsi="Arial"/>
              </w:rPr>
              <w:t>理解工作人员和其他相关方的需求和期望</w:t>
            </w:r>
            <w:bookmarkEnd w:id="0"/>
          </w:p>
          <w:p>
            <w:pPr>
              <w:rPr>
                <w:rFonts w:ascii="Arial" w:hAnsi="Arial"/>
              </w:rPr>
            </w:pPr>
          </w:p>
        </w:tc>
        <w:tc>
          <w:tcPr>
            <w:tcW w:w="960" w:type="dxa"/>
            <w:vMerge w:val="restart"/>
          </w:tcPr>
          <w:p>
            <w:r>
              <w:rPr>
                <w:rFonts w:hint="eastAsia"/>
              </w:rPr>
              <w:t>O4.2</w:t>
            </w:r>
          </w:p>
        </w:tc>
        <w:tc>
          <w:tcPr>
            <w:tcW w:w="745" w:type="dxa"/>
          </w:tcPr>
          <w:p>
            <w:r>
              <w:rPr>
                <w:rFonts w:hint="eastAsia"/>
              </w:rPr>
              <w:t>文件名称</w:t>
            </w:r>
          </w:p>
        </w:tc>
        <w:tc>
          <w:tcPr>
            <w:tcW w:w="9259" w:type="dxa"/>
            <w:vAlign w:val="center"/>
          </w:tcPr>
          <w:p>
            <w:pPr>
              <w:jc w:val="both"/>
            </w:pPr>
            <w:r>
              <w:rPr>
                <w:rFonts w:hint="eastAsia"/>
              </w:rPr>
              <w:t>如：管理手册第4.2章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center"/>
                  </w:pPr>
                  <w:r>
                    <w:rPr>
                      <w:rFonts w:hint="eastAsia"/>
                    </w:rPr>
                    <w:t>重要的相关方</w:t>
                  </w:r>
                </w:p>
              </w:tc>
              <w:tc>
                <w:tcPr>
                  <w:tcW w:w="2495" w:type="dxa"/>
                  <w:vAlign w:val="center"/>
                </w:tcPr>
                <w:p>
                  <w:pPr>
                    <w:jc w:val="center"/>
                  </w:pPr>
                  <w:r>
                    <w:rPr>
                      <w:rFonts w:hint="eastAsia"/>
                    </w:rPr>
                    <w:t>相关方名称举例</w:t>
                  </w:r>
                </w:p>
              </w:tc>
              <w:tc>
                <w:tcPr>
                  <w:tcW w:w="3611" w:type="dxa"/>
                  <w:vAlign w:val="center"/>
                </w:tcPr>
                <w:p>
                  <w:pPr>
                    <w:jc w:val="cente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szCs w:val="22"/>
                    </w:rPr>
                  </w:pPr>
                  <w:r>
                    <w:rPr>
                      <w:rFonts w:hint="eastAsia"/>
                      <w:szCs w:val="22"/>
                    </w:rPr>
                    <w:t>☑主管部门</w:t>
                  </w:r>
                </w:p>
              </w:tc>
              <w:tc>
                <w:tcPr>
                  <w:tcW w:w="2495" w:type="dxa"/>
                  <w:vAlign w:val="center"/>
                </w:tcPr>
                <w:p>
                  <w:pPr>
                    <w:jc w:val="both"/>
                    <w:rPr>
                      <w:rFonts w:hint="default" w:ascii="Times New Roman" w:hAnsi="Times New Roman" w:eastAsia="宋体" w:cs="Times New Roman"/>
                      <w:color w:val="000000" w:themeColor="text1"/>
                      <w:szCs w:val="22"/>
                      <w:lang w:val="en-US" w:eastAsia="zh-CN"/>
                      <w14:textFill>
                        <w14:solidFill>
                          <w14:schemeClr w14:val="tx1"/>
                        </w14:solidFill>
                      </w14:textFill>
                    </w:rPr>
                  </w:pPr>
                  <w:r>
                    <w:rPr>
                      <w:rFonts w:hint="default" w:ascii="Times New Roman" w:hAnsi="Times New Roman" w:eastAsia="宋体" w:cs="Times New Roman"/>
                      <w:color w:val="000000" w:themeColor="text1"/>
                      <w:szCs w:val="22"/>
                      <w:lang w:val="en-US" w:eastAsia="zh-CN"/>
                      <w14:textFill>
                        <w14:solidFill>
                          <w14:schemeClr w14:val="tx1"/>
                        </w14:solidFill>
                      </w14:textFill>
                    </w:rPr>
                    <w:t>滁州电业局</w:t>
                  </w:r>
                </w:p>
              </w:tc>
              <w:tc>
                <w:tcPr>
                  <w:tcW w:w="3611" w:type="dxa"/>
                </w:tcPr>
                <w:p>
                  <w:r>
                    <w:rPr>
                      <w:rFonts w:hint="eastAsia"/>
                    </w:rPr>
                    <w:t>☑遵守职业健康安全相关的法律法规</w:t>
                  </w:r>
                </w:p>
                <w:p>
                  <w:r>
                    <w:rPr>
                      <w:rFonts w:hint="eastAsia"/>
                    </w:rPr>
                    <w:t>□</w:t>
                  </w:r>
                </w:p>
              </w:tc>
              <w:tc>
                <w:tcPr>
                  <w:tcW w:w="132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☑供方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szCs w:val="22"/>
                      <w:lang w:val="en-US" w:eastAsia="zh-CN"/>
                      <w14:textFill>
                        <w14:solidFill>
                          <w14:schemeClr w14:val="tx1"/>
                        </w14:solidFill>
                      </w14:textFill>
                    </w:rPr>
                  </w:pPr>
                  <w:r>
                    <w:rPr>
                      <w:rFonts w:hint="eastAsia"/>
                      <w:vertAlign w:val="baseline"/>
                      <w:lang w:val="en-US" w:eastAsia="zh-CN"/>
                    </w:rPr>
                    <w:t xml:space="preserve"> </w:t>
                  </w:r>
                </w:p>
              </w:tc>
              <w:tc>
                <w:tcPr>
                  <w:tcW w:w="3611" w:type="dxa"/>
                </w:tcPr>
                <w:p>
                  <w:r>
                    <w:rPr>
                      <w:rFonts w:hint="eastAsia"/>
                    </w:rPr>
                    <w:t>☑组织的持续经营</w:t>
                  </w:r>
                </w:p>
                <w:p>
                  <w:r>
                    <w:rPr>
                      <w:rFonts w:hint="eastAsia"/>
                    </w:rPr>
                    <w:t>☑明示采购的职业健康安全要求</w:t>
                  </w:r>
                </w:p>
              </w:tc>
              <w:tc>
                <w:tcPr>
                  <w:tcW w:w="132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☑顾客</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lang w:val="en-US" w:eastAsia="zh-CN"/>
                    </w:rPr>
                    <w:t>国网安徽省电力有限公司滁州供电公司</w:t>
                  </w:r>
                </w:p>
              </w:tc>
              <w:tc>
                <w:tcPr>
                  <w:tcW w:w="3611" w:type="dxa"/>
                </w:tcPr>
                <w:p>
                  <w:pPr>
                    <w:ind w:left="210" w:hanging="210" w:hangingChars="100"/>
                  </w:pPr>
                  <w:r>
                    <w:rPr>
                      <w:rFonts w:hint="eastAsia"/>
                    </w:rPr>
                    <w:t>☑不因职业健康安全问题影响双方合约的履行，按时按质按量交付产品或服务；</w:t>
                  </w:r>
                </w:p>
              </w:tc>
              <w:tc>
                <w:tcPr>
                  <w:tcW w:w="132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center"/>
                </w:tcPr>
                <w:p>
                  <w:pPr>
                    <w:rPr>
                      <w:color w:val="auto"/>
                      <w:szCs w:val="24"/>
                    </w:rPr>
                  </w:pPr>
                  <w:r>
                    <w:rPr>
                      <w:rFonts w:hint="eastAsia"/>
                      <w:color w:val="auto"/>
                    </w:rPr>
                    <w:t>☑员工</w:t>
                  </w:r>
                </w:p>
              </w:tc>
              <w:tc>
                <w:tcPr>
                  <w:tcW w:w="2495" w:type="dxa"/>
                  <w:vAlign w:val="center"/>
                </w:tcPr>
                <w:p>
                  <w:pPr>
                    <w:rPr>
                      <w:color w:val="auto"/>
                    </w:rPr>
                  </w:pPr>
                  <w:r>
                    <w:rPr>
                      <w:rFonts w:hint="eastAsia"/>
                      <w:color w:val="auto"/>
                    </w:rPr>
                    <w:t>——</w:t>
                  </w:r>
                </w:p>
              </w:tc>
              <w:tc>
                <w:tcPr>
                  <w:tcW w:w="3611" w:type="dxa"/>
                </w:tcPr>
                <w:p>
                  <w:pPr>
                    <w:rPr>
                      <w:color w:val="auto"/>
                    </w:rPr>
                  </w:pPr>
                  <w:r>
                    <w:rPr>
                      <w:rFonts w:hint="eastAsia"/>
                      <w:color w:val="auto"/>
                    </w:rPr>
                    <w:t>☑不发生工伤和/或职业病；</w:t>
                  </w:r>
                </w:p>
                <w:p>
                  <w:pPr>
                    <w:rPr>
                      <w:rFonts w:hint="eastAsia"/>
                      <w:color w:val="auto"/>
                    </w:rPr>
                  </w:pPr>
                  <w:r>
                    <w:rPr>
                      <w:rFonts w:hint="eastAsia"/>
                      <w:color w:val="auto"/>
                    </w:rPr>
                    <w:t>☑组织持续经营</w:t>
                  </w:r>
                </w:p>
                <w:p>
                  <w:pPr>
                    <w:pStyle w:val="2"/>
                    <w:rPr>
                      <w:rFonts w:hint="eastAsia" w:eastAsia="宋体"/>
                      <w:color w:val="auto"/>
                      <w:lang w:eastAsia="zh-CN"/>
                    </w:rPr>
                  </w:pPr>
                  <w:r>
                    <w:rPr>
                      <w:rFonts w:hint="eastAsia"/>
                      <w:color w:val="auto"/>
                    </w:rPr>
                    <w:t>☑</w:t>
                  </w:r>
                  <w:r>
                    <w:rPr>
                      <w:rFonts w:hint="eastAsia"/>
                      <w:color w:val="auto"/>
                      <w:lang w:eastAsia="zh-CN"/>
                    </w:rPr>
                    <w:t>清洁生产</w:t>
                  </w:r>
                </w:p>
              </w:tc>
              <w:tc>
                <w:tcPr>
                  <w:tcW w:w="1324" w:type="dxa"/>
                  <w:vAlign w:val="center"/>
                </w:tcPr>
                <w:p>
                  <w:pPr>
                    <w:jc w:val="both"/>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both"/>
                    <w:rPr>
                      <w:color w:val="auto"/>
                    </w:rPr>
                  </w:pPr>
                  <w:r>
                    <w:rPr>
                      <w:rFonts w:hint="eastAsia"/>
                      <w:color w:val="auto"/>
                      <w:lang w:eastAsia="zh-CN"/>
                    </w:rPr>
                    <w:t>☑</w:t>
                  </w:r>
                  <w:r>
                    <w:rPr>
                      <w:rFonts w:hint="eastAsia"/>
                      <w:color w:val="auto"/>
                    </w:rPr>
                    <w:t>审核机构</w:t>
                  </w:r>
                </w:p>
              </w:tc>
              <w:tc>
                <w:tcPr>
                  <w:tcW w:w="2495" w:type="dxa"/>
                </w:tcPr>
                <w:p>
                  <w:pPr>
                    <w:rPr>
                      <w:color w:val="auto"/>
                    </w:rPr>
                  </w:pPr>
                </w:p>
              </w:tc>
              <w:tc>
                <w:tcPr>
                  <w:tcW w:w="3611" w:type="dxa"/>
                </w:tcPr>
                <w:p>
                  <w:pPr>
                    <w:rPr>
                      <w:rFonts w:hint="eastAsia"/>
                      <w:color w:val="auto"/>
                      <w:lang w:eastAsia="zh-CN"/>
                    </w:rPr>
                  </w:pPr>
                  <w:r>
                    <w:rPr>
                      <w:rFonts w:hint="eastAsia"/>
                      <w:color w:val="auto"/>
                      <w:lang w:eastAsia="zh-CN"/>
                    </w:rPr>
                    <w:t>☑管理体系的有效性、适宜性</w:t>
                  </w:r>
                </w:p>
                <w:p>
                  <w:pPr>
                    <w:pStyle w:val="2"/>
                    <w:rPr>
                      <w:rFonts w:hint="eastAsia"/>
                      <w:color w:val="auto"/>
                      <w:lang w:eastAsia="zh-CN"/>
                    </w:rPr>
                  </w:pPr>
                  <w:r>
                    <w:rPr>
                      <w:rFonts w:hint="eastAsia"/>
                      <w:color w:val="auto"/>
                      <w:lang w:eastAsia="zh-CN"/>
                    </w:rPr>
                    <w:t>☑持续改进</w:t>
                  </w:r>
                </w:p>
              </w:tc>
              <w:tc>
                <w:tcPr>
                  <w:tcW w:w="1324" w:type="dxa"/>
                  <w:vAlign w:val="center"/>
                </w:tcPr>
                <w:p>
                  <w:pPr>
                    <w:jc w:val="both"/>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□承包方</w:t>
                  </w:r>
                </w:p>
              </w:tc>
              <w:tc>
                <w:tcPr>
                  <w:tcW w:w="2495" w:type="dxa"/>
                </w:tcPr>
                <w:p>
                  <w:pPr>
                    <w:rPr>
                      <w:color w:val="auto"/>
                    </w:rPr>
                  </w:pPr>
                  <w:r>
                    <w:rPr>
                      <w:rFonts w:hint="eastAsia"/>
                      <w:color w:val="auto"/>
                    </w:rPr>
                    <w:t>不适用</w:t>
                  </w:r>
                </w:p>
              </w:tc>
              <w:tc>
                <w:tcPr>
                  <w:tcW w:w="3611" w:type="dxa"/>
                </w:tcPr>
                <w:p>
                  <w:pPr>
                    <w:rPr>
                      <w:color w:val="auto"/>
                    </w:rPr>
                  </w:pPr>
                  <w:r>
                    <w:rPr>
                      <w:rFonts w:hint="eastAsia"/>
                      <w:color w:val="auto"/>
                    </w:rPr>
                    <w:t>□</w:t>
                  </w:r>
                </w:p>
              </w:tc>
              <w:tc>
                <w:tcPr>
                  <w:tcW w:w="1324" w:type="dxa"/>
                  <w:vAlign w:val="center"/>
                </w:tcPr>
                <w:p>
                  <w:pPr>
                    <w:jc w:val="both"/>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□其他</w:t>
                  </w:r>
                </w:p>
              </w:tc>
              <w:tc>
                <w:tcPr>
                  <w:tcW w:w="2495" w:type="dxa"/>
                </w:tcPr>
                <w:p>
                  <w:pPr>
                    <w:rPr>
                      <w:color w:val="auto"/>
                    </w:rPr>
                  </w:pPr>
                  <w:r>
                    <w:rPr>
                      <w:rFonts w:hint="eastAsia"/>
                      <w:color w:val="auto"/>
                    </w:rPr>
                    <w:t>不适用</w:t>
                  </w:r>
                </w:p>
              </w:tc>
              <w:tc>
                <w:tcPr>
                  <w:tcW w:w="3611" w:type="dxa"/>
                </w:tcPr>
                <w:p>
                  <w:pPr>
                    <w:rPr>
                      <w:color w:val="auto"/>
                    </w:rPr>
                  </w:pPr>
                </w:p>
              </w:tc>
              <w:tc>
                <w:tcPr>
                  <w:tcW w:w="1324" w:type="dxa"/>
                </w:tcPr>
                <w:p>
                  <w:pPr>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bl>
          <w:p>
            <w:pPr>
              <w:rPr>
                <w:color w:val="auto"/>
                <w:szCs w:val="21"/>
              </w:rPr>
            </w:pPr>
          </w:p>
          <w:p>
            <w:r>
              <w:rPr>
                <w:rFonts w:hint="eastAsia"/>
                <w:color w:val="auto"/>
                <w:szCs w:val="21"/>
              </w:rPr>
              <w:t>主要证据体现在</w:t>
            </w:r>
            <w:r>
              <w:rPr>
                <w:rFonts w:hint="eastAsia"/>
                <w:color w:val="auto"/>
              </w:rPr>
              <w:t xml:space="preserve"> </w:t>
            </w:r>
            <w:r>
              <w:rPr>
                <w:rFonts w:hint="eastAsia"/>
                <w:color w:val="auto"/>
              </w:rPr>
              <w:sym w:font="Wingdings" w:char="00FE"/>
            </w:r>
            <w:r>
              <w:rPr>
                <w:rFonts w:hint="eastAsia"/>
                <w:color w:val="auto"/>
              </w:rPr>
              <w:t xml:space="preserve">《相关方的需求和期望清单》  </w:t>
            </w:r>
            <w:r>
              <w:rPr>
                <w:rFonts w:hint="eastAsia"/>
                <w:color w:val="auto"/>
              </w:rPr>
              <w:sym w:font="Wingdings" w:char="00A8"/>
            </w:r>
            <w:r>
              <w:rPr>
                <w:rFonts w:hint="eastAsia"/>
                <w:color w:val="auto"/>
              </w:rPr>
              <w:t>《年</w:t>
            </w:r>
            <w:r>
              <w:rPr>
                <w:rFonts w:hint="eastAsia"/>
              </w:rPr>
              <w:t xml:space="preserve">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确定职业健康安全管理体系的范围</w:t>
            </w:r>
          </w:p>
        </w:tc>
        <w:tc>
          <w:tcPr>
            <w:tcW w:w="960" w:type="dxa"/>
            <w:vMerge w:val="restart"/>
          </w:tcPr>
          <w:p>
            <w:r>
              <w:rPr>
                <w:rFonts w:hint="eastAsia"/>
              </w:rPr>
              <w:t>O4.3</w:t>
            </w:r>
          </w:p>
        </w:tc>
        <w:tc>
          <w:tcPr>
            <w:tcW w:w="745" w:type="dxa"/>
          </w:tcPr>
          <w:p>
            <w:r>
              <w:rPr>
                <w:rFonts w:hint="eastAsia"/>
              </w:rPr>
              <w:t>文件名称</w:t>
            </w:r>
          </w:p>
        </w:tc>
        <w:tc>
          <w:tcPr>
            <w:tcW w:w="9259" w:type="dxa"/>
          </w:tcPr>
          <w:p>
            <w:r>
              <w:rPr>
                <w:rFonts w:hint="eastAsia"/>
              </w:rPr>
              <w:t>如：管理手册第4.2章和“公司介绍”</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8"/>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83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center"/>
                  </w:pPr>
                  <w:r>
                    <w:rPr>
                      <w:rFonts w:hint="eastAsia"/>
                    </w:rPr>
                    <w:t>范围的项目</w:t>
                  </w:r>
                </w:p>
              </w:tc>
              <w:tc>
                <w:tcPr>
                  <w:tcW w:w="4839" w:type="dxa"/>
                  <w:vAlign w:val="center"/>
                </w:tcPr>
                <w:p>
                  <w:pPr>
                    <w:jc w:val="center"/>
                  </w:pPr>
                  <w:r>
                    <w:rPr>
                      <w:rFonts w:hint="eastAsia"/>
                    </w:rPr>
                    <w:t>内容描述</w:t>
                  </w:r>
                </w:p>
              </w:tc>
              <w:tc>
                <w:tcPr>
                  <w:tcW w:w="232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both"/>
                  </w:pPr>
                  <w:r>
                    <w:rPr>
                      <w:rFonts w:hint="eastAsia"/>
                    </w:rPr>
                    <w:t>产品/服务的活动</w:t>
                  </w:r>
                </w:p>
              </w:tc>
              <w:tc>
                <w:tcPr>
                  <w:tcW w:w="4839" w:type="dxa"/>
                </w:tcPr>
                <w:p>
                  <w:pPr>
                    <w:rPr>
                      <w:b w:val="0"/>
                      <w:bCs/>
                    </w:rPr>
                  </w:pPr>
                  <w:r>
                    <w:rPr>
                      <w:sz w:val="20"/>
                    </w:rPr>
                    <w:t>电力工程输电、变电工程设计（限资质范围内）</w:t>
                  </w:r>
                </w:p>
              </w:tc>
              <w:tc>
                <w:tcPr>
                  <w:tcW w:w="23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both"/>
                  </w:pPr>
                  <w:r>
                    <w:rPr>
                      <w:rFonts w:hint="eastAsia"/>
                    </w:rPr>
                    <w:t>经营地址</w:t>
                  </w:r>
                </w:p>
              </w:tc>
              <w:tc>
                <w:tcPr>
                  <w:tcW w:w="4839" w:type="dxa"/>
                </w:tcPr>
                <w:p>
                  <w:pPr>
                    <w:rPr>
                      <w:b w:val="0"/>
                      <w:bCs/>
                    </w:rPr>
                  </w:pPr>
                  <w:bookmarkStart w:id="1" w:name="生产地址"/>
                  <w:r>
                    <w:rPr>
                      <w:rFonts w:asciiTheme="minorEastAsia" w:hAnsiTheme="minorEastAsia" w:eastAsiaTheme="minorEastAsia"/>
                      <w:sz w:val="20"/>
                    </w:rPr>
                    <w:t>安徽省滁州市花园东路366号</w:t>
                  </w:r>
                  <w:bookmarkEnd w:id="1"/>
                </w:p>
              </w:tc>
              <w:tc>
                <w:tcPr>
                  <w:tcW w:w="23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839"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pPr>
                    <w:rPr>
                      <w:rFonts w:hint="eastAsia"/>
                    </w:rPr>
                  </w:pPr>
                  <w:r>
                    <w:rPr>
                      <w:rFonts w:hint="eastAsia"/>
                    </w:rPr>
                    <w:sym w:font="Wingdings" w:char="00A8"/>
                  </w:r>
                  <w:r>
                    <w:rPr>
                      <w:rFonts w:hint="eastAsia"/>
                    </w:rPr>
                    <w:t xml:space="preserve">临时场所，如： </w:t>
                  </w:r>
                  <w:r>
                    <w:rPr>
                      <w:rFonts w:hint="eastAsia"/>
                      <w:u w:val="single"/>
                    </w:rPr>
                    <w:t xml:space="preserve">                 </w:t>
                  </w:r>
                </w:p>
              </w:tc>
              <w:tc>
                <w:tcPr>
                  <w:tcW w:w="23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839" w:type="dxa"/>
                </w:tcPr>
                <w:p>
                  <w:r>
                    <w:rPr>
                      <w:rFonts w:hint="eastAsia"/>
                    </w:rPr>
                    <w:sym w:font="Wingdings" w:char="00FE"/>
                  </w:r>
                  <w:r>
                    <w:rPr>
                      <w:rFonts w:hint="eastAsia"/>
                    </w:rPr>
                    <w:t xml:space="preserve"> 体系建立以来</w:t>
                  </w:r>
                </w:p>
                <w:p>
                  <w:r>
                    <w:rPr>
                      <w:rFonts w:hint="eastAsia"/>
                    </w:rPr>
                    <w:sym w:font="Wingdings" w:char="00A8"/>
                  </w:r>
                  <w:r>
                    <w:rPr>
                      <w:rFonts w:hint="eastAsia"/>
                    </w:rPr>
                    <w:t xml:space="preserve"> 近三个月</w:t>
                  </w:r>
                </w:p>
              </w:tc>
              <w:tc>
                <w:tcPr>
                  <w:tcW w:w="2325" w:type="dxa"/>
                </w:tcPr>
                <w:p/>
              </w:tc>
            </w:tr>
          </w:tbl>
          <w:p/>
          <w:p>
            <w:pPr>
              <w:rPr>
                <w:color w:val="000000"/>
                <w:szCs w:val="21"/>
              </w:rPr>
            </w:pPr>
            <w:r>
              <w:rPr>
                <w:rFonts w:hint="eastAsia"/>
                <w:color w:val="000000"/>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2" w:name="_Toc17985661"/>
            <w:r>
              <w:rPr>
                <w:rFonts w:hint="eastAsia" w:ascii="Arial" w:hAnsi="Arial"/>
              </w:rPr>
              <w:t>职业健康安全管理体系</w:t>
            </w:r>
            <w:bookmarkEnd w:id="2"/>
          </w:p>
        </w:tc>
        <w:tc>
          <w:tcPr>
            <w:tcW w:w="960" w:type="dxa"/>
            <w:vMerge w:val="restart"/>
          </w:tcPr>
          <w:p>
            <w:r>
              <w:rPr>
                <w:rFonts w:hint="eastAsia"/>
              </w:rPr>
              <w:t>O4.4</w:t>
            </w:r>
          </w:p>
        </w:tc>
        <w:tc>
          <w:tcPr>
            <w:tcW w:w="745" w:type="dxa"/>
          </w:tcPr>
          <w:p>
            <w:r>
              <w:rPr>
                <w:rFonts w:hint="eastAsia"/>
              </w:rPr>
              <w:t>文件名称</w:t>
            </w:r>
          </w:p>
        </w:tc>
        <w:tc>
          <w:tcPr>
            <w:tcW w:w="9259" w:type="dxa"/>
          </w:tcPr>
          <w:p>
            <w:r>
              <w:rPr>
                <w:rFonts w:hint="eastAsia"/>
              </w:rPr>
              <w:t>如：管理手册第4.4章和《风险和机遇评估分析表》</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t>□</w:t>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□建筑施工 □危化品贮存 □XXX加工过程 □放射线探伤 □危险品运输 □设备维修</w:t>
            </w:r>
          </w:p>
          <w:p>
            <w:pPr>
              <w:spacing w:before="40" w:after="40"/>
            </w:pPr>
            <w:r>
              <w:rPr>
                <w:rFonts w:hint="eastAsia"/>
              </w:rPr>
              <w:t>□人员培训 □其他</w:t>
            </w:r>
          </w:p>
          <w:p>
            <w:pPr>
              <w:rPr>
                <w:highlight w:val="cyan"/>
              </w:rPr>
            </w:pPr>
            <w:r>
              <w:rPr>
                <w:rFonts w:hint="eastAsia"/>
                <w:lang w:val="en-GB"/>
              </w:rPr>
              <w:t>组织通过</w:t>
            </w:r>
            <w:r>
              <w:rPr>
                <w:rFonts w:hint="eastAsia" w:ascii="Arial" w:hAnsi="Arial"/>
              </w:rPr>
              <w:t>职业健康安全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ascii="Arial" w:hAnsi="Arial"/>
              </w:rPr>
              <w:t>职业健康安全</w:t>
            </w:r>
            <w:r>
              <w:rPr>
                <w:rFonts w:hint="eastAsia"/>
              </w:rPr>
              <w:t>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O5.1</w:t>
            </w:r>
          </w:p>
        </w:tc>
        <w:tc>
          <w:tcPr>
            <w:tcW w:w="745" w:type="dxa"/>
          </w:tcPr>
          <w:p>
            <w:r>
              <w:rPr>
                <w:rFonts w:hint="eastAsia"/>
              </w:rPr>
              <w:t>文件名称</w:t>
            </w:r>
          </w:p>
        </w:tc>
        <w:tc>
          <w:tcPr>
            <w:tcW w:w="9259" w:type="dxa"/>
            <w:vAlign w:val="center"/>
          </w:tcPr>
          <w:p>
            <w:r>
              <w:rPr>
                <w:rFonts w:hint="eastAsia"/>
              </w:rPr>
              <w:t>如：管理手册第5.1章、“总经理岗位职责”</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color w:val="000000"/>
                <w:szCs w:val="21"/>
              </w:rPr>
              <w:t xml:space="preserve"> </w:t>
            </w:r>
            <w:r>
              <w:rPr>
                <w:rFonts w:hint="eastAsia"/>
                <w:szCs w:val="21"/>
              </w:rPr>
              <w:t>与最高管理者沟通其领导作用与承诺：</w:t>
            </w:r>
          </w:p>
          <w:p>
            <w:pPr>
              <w:rPr>
                <w:szCs w:val="21"/>
              </w:rPr>
            </w:pPr>
            <w:r>
              <w:rPr>
                <w:rFonts w:hint="eastAsia"/>
                <w:szCs w:val="21"/>
              </w:rPr>
              <w:sym w:font="Wingdings" w:char="00FE"/>
            </w:r>
            <w:r>
              <w:rPr>
                <w:rFonts w:hint="eastAsia"/>
              </w:rPr>
              <w:t>对防止与工作相关的伤害和健康损害以及提供健康安全的工作场所和活动全面负责并承担责任</w:t>
            </w:r>
            <w:r>
              <w:rPr>
                <w:rFonts w:hint="eastAsia"/>
                <w:szCs w:val="21"/>
              </w:rPr>
              <w:t xml:space="preserve">； </w:t>
            </w:r>
          </w:p>
          <w:p>
            <w:r>
              <w:rPr>
                <w:rFonts w:hint="eastAsia"/>
                <w:szCs w:val="21"/>
              </w:rPr>
              <w:sym w:font="Wingdings" w:char="00FE"/>
            </w:r>
            <w:r>
              <w:rPr>
                <w:rFonts w:hint="eastAsia"/>
              </w:rPr>
              <w:t>确保职业健康安全方针和相关</w:t>
            </w:r>
            <w:r>
              <w:t>职业健康安全</w:t>
            </w:r>
            <w:r>
              <w:rPr>
                <w:rFonts w:hint="eastAsia"/>
              </w:rPr>
              <w:t>目标得以建立，</w:t>
            </w:r>
            <w:r>
              <w:t>并</w:t>
            </w:r>
            <w:r>
              <w:rPr>
                <w:rFonts w:hint="eastAsia"/>
              </w:rPr>
              <w:t>与组织战略方向相一致；</w:t>
            </w:r>
          </w:p>
          <w:p>
            <w:pPr>
              <w:rPr>
                <w:szCs w:val="21"/>
              </w:rPr>
            </w:pPr>
            <w:r>
              <w:rPr>
                <w:rFonts w:hint="eastAsia"/>
                <w:szCs w:val="21"/>
              </w:rPr>
              <w:sym w:font="Wingdings" w:char="00FE"/>
            </w:r>
            <w:r>
              <w:rPr>
                <w:rFonts w:hint="eastAsia"/>
              </w:rPr>
              <w:t>确保将职业健康安全管理体系要求融入组织业务过程之中；</w:t>
            </w:r>
            <w:r>
              <w:rPr>
                <w:rFonts w:hint="eastAsia"/>
                <w:szCs w:val="21"/>
              </w:rPr>
              <w:t xml:space="preserve">  </w:t>
            </w:r>
          </w:p>
          <w:p>
            <w:pPr>
              <w:rPr>
                <w:szCs w:val="21"/>
              </w:rPr>
            </w:pPr>
            <w:r>
              <w:rPr>
                <w:rFonts w:hint="eastAsia"/>
                <w:szCs w:val="21"/>
              </w:rPr>
              <w:sym w:font="Wingdings" w:char="00FE"/>
            </w:r>
            <w:r>
              <w:rPr>
                <w:rFonts w:hint="eastAsia"/>
              </w:rPr>
              <w:t>确保可获得建立、实施、保持和改进职业健康安全管理体系所需的资源；</w:t>
            </w:r>
            <w:r>
              <w:rPr>
                <w:rFonts w:hint="eastAsia"/>
                <w:szCs w:val="21"/>
              </w:rPr>
              <w:t xml:space="preserve"> </w:t>
            </w:r>
          </w:p>
          <w:p>
            <w:r>
              <w:rPr>
                <w:rFonts w:hint="eastAsia"/>
                <w:szCs w:val="21"/>
              </w:rPr>
              <w:sym w:font="Wingdings" w:char="00FE"/>
            </w:r>
            <w:r>
              <w:rPr>
                <w:rFonts w:hint="eastAsia"/>
              </w:rPr>
              <w:t>就有效的职业健康安全管理和符合职业健康安全管理体系要求的重要性进行沟通；</w:t>
            </w:r>
          </w:p>
          <w:p>
            <w:r>
              <w:rPr>
                <w:rFonts w:hint="eastAsia"/>
                <w:szCs w:val="21"/>
              </w:rPr>
              <w:sym w:font="Wingdings" w:char="00FE"/>
            </w:r>
            <w:r>
              <w:rPr>
                <w:rFonts w:hint="eastAsia"/>
              </w:rPr>
              <w:t>确保职业健康安全管理体系实现其预期结果；</w:t>
            </w:r>
          </w:p>
          <w:p>
            <w:pPr>
              <w:rPr>
                <w:szCs w:val="21"/>
              </w:rPr>
            </w:pPr>
            <w:r>
              <w:rPr>
                <w:rFonts w:hint="eastAsia"/>
                <w:szCs w:val="21"/>
              </w:rPr>
              <w:sym w:font="Wingdings" w:char="00FE"/>
            </w:r>
            <w:r>
              <w:rPr>
                <w:rFonts w:hint="eastAsia"/>
              </w:rPr>
              <w:t>指导并支持人员为职业健康安全管理体系的有效性做出贡献</w:t>
            </w:r>
            <w:r>
              <w:rPr>
                <w:rFonts w:hint="eastAsia"/>
                <w:szCs w:val="21"/>
              </w:rPr>
              <w:t>；</w:t>
            </w:r>
          </w:p>
          <w:p>
            <w:pPr>
              <w:rPr>
                <w:szCs w:val="21"/>
              </w:rPr>
            </w:pPr>
            <w:r>
              <w:rPr>
                <w:rFonts w:hint="eastAsia"/>
                <w:szCs w:val="21"/>
              </w:rPr>
              <w:sym w:font="Wingdings" w:char="00FE"/>
            </w:r>
            <w:r>
              <w:rPr>
                <w:rFonts w:hint="eastAsia"/>
              </w:rPr>
              <w:t>确保并促进持续改进</w:t>
            </w:r>
            <w:r>
              <w:rPr>
                <w:rFonts w:hint="eastAsia"/>
                <w:szCs w:val="21"/>
              </w:rPr>
              <w:t>；</w:t>
            </w:r>
          </w:p>
          <w:p>
            <w:r>
              <w:rPr>
                <w:rFonts w:hint="eastAsia"/>
                <w:szCs w:val="21"/>
              </w:rPr>
              <w:sym w:font="Wingdings" w:char="00FE"/>
            </w:r>
            <w:r>
              <w:rPr>
                <w:rFonts w:hint="eastAsia"/>
              </w:rPr>
              <w:t>支持其他相关管理人员证实在其职责范围内</w:t>
            </w:r>
            <w:r>
              <w:t>的</w:t>
            </w:r>
            <w:r>
              <w:rPr>
                <w:rFonts w:hint="eastAsia"/>
              </w:rPr>
              <w:t>领导作用；</w:t>
            </w:r>
          </w:p>
          <w:p>
            <w:r>
              <w:rPr>
                <w:rFonts w:hint="eastAsia"/>
                <w:szCs w:val="21"/>
              </w:rPr>
              <w:sym w:font="Wingdings" w:char="00FE"/>
            </w:r>
            <w:r>
              <w:rPr>
                <w:rFonts w:hint="eastAsia"/>
              </w:rPr>
              <w:t>在组织内建立、引导和促进支持职业健康安全管理体系预期结果的文化；</w:t>
            </w:r>
          </w:p>
          <w:p>
            <w:r>
              <w:rPr>
                <w:rFonts w:hint="eastAsia"/>
                <w:szCs w:val="21"/>
              </w:rPr>
              <w:sym w:font="Wingdings" w:char="00FE"/>
            </w:r>
            <w:r>
              <w:rPr>
                <w:rFonts w:hint="eastAsia"/>
              </w:rPr>
              <w:t>保护工作人员不因报告事件、危险源、风险和机遇而遭受报复；</w:t>
            </w:r>
          </w:p>
          <w:p>
            <w:r>
              <w:rPr>
                <w:rFonts w:hint="eastAsia"/>
                <w:szCs w:val="21"/>
              </w:rPr>
              <w:sym w:font="Wingdings" w:char="00FE"/>
            </w:r>
            <w:r>
              <w:rPr>
                <w:rFonts w:hint="eastAsia"/>
              </w:rPr>
              <w:t>确保组织建立和实施工作人员的协商和参与的过程</w:t>
            </w:r>
          </w:p>
          <w:p>
            <w:pPr>
              <w:rPr>
                <w:b/>
                <w:bCs/>
                <w:szCs w:val="21"/>
              </w:rPr>
            </w:pPr>
            <w:r>
              <w:rPr>
                <w:rFonts w:hint="eastAsia"/>
                <w:szCs w:val="21"/>
              </w:rPr>
              <w:sym w:font="Wingdings" w:char="00FE"/>
            </w:r>
            <w:r>
              <w:rPr>
                <w:rFonts w:hint="eastAsia"/>
              </w:rPr>
              <w:t>支持健康安全委员会的建立和运行。</w:t>
            </w:r>
          </w:p>
          <w:p>
            <w:pPr>
              <w:rPr>
                <w:szCs w:val="21"/>
              </w:rPr>
            </w:pPr>
          </w:p>
          <w:p>
            <w:pPr>
              <w:rPr>
                <w:color w:val="000000"/>
                <w:szCs w:val="21"/>
              </w:rPr>
            </w:pPr>
            <w:r>
              <w:rPr>
                <w:rFonts w:hint="eastAsia"/>
                <w:szCs w:val="21"/>
              </w:rPr>
              <w:sym w:font="Wingdings" w:char="00FE"/>
            </w:r>
            <w:r>
              <w:rPr>
                <w:rFonts w:hint="eastAsia"/>
                <w:szCs w:val="21"/>
              </w:rPr>
              <w:t xml:space="preserve"> 覆盖了标准第5.1章的全面要求，</w:t>
            </w:r>
            <w:r>
              <w:rPr>
                <w:rFonts w:hint="eastAsia"/>
                <w:szCs w:val="21"/>
              </w:rPr>
              <w:sym w:font="Wingdings" w:char="00A8"/>
            </w:r>
            <w:r>
              <w:rPr>
                <w:rFonts w:hint="eastAsia"/>
                <w:szCs w:val="21"/>
              </w:rPr>
              <w:t xml:space="preserve"> 未覆盖标准第5.1章的全面要求，缺少：</w:t>
            </w:r>
            <w:r>
              <w:rPr>
                <w:rFonts w:hint="eastAsia"/>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职业健康安全方针</w:t>
            </w:r>
          </w:p>
        </w:tc>
        <w:tc>
          <w:tcPr>
            <w:tcW w:w="960" w:type="dxa"/>
            <w:vMerge w:val="restart"/>
          </w:tcPr>
          <w:p>
            <w:r>
              <w:rPr>
                <w:rFonts w:hint="eastAsia"/>
              </w:rPr>
              <w:t>O5.2</w:t>
            </w:r>
          </w:p>
        </w:tc>
        <w:tc>
          <w:tcPr>
            <w:tcW w:w="745" w:type="dxa"/>
          </w:tcPr>
          <w:p>
            <w:r>
              <w:rPr>
                <w:rFonts w:hint="eastAsia"/>
              </w:rPr>
              <w:t>文件名称</w:t>
            </w:r>
          </w:p>
        </w:tc>
        <w:tc>
          <w:tcPr>
            <w:tcW w:w="9259" w:type="dxa"/>
            <w:vAlign w:val="center"/>
          </w:tcPr>
          <w:p>
            <w:r>
              <w:rPr>
                <w:rFonts w:hint="eastAsia"/>
              </w:rPr>
              <w:t>如：管理手册第5.2章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color w:val="000000"/>
                <w:szCs w:val="21"/>
              </w:rPr>
              <w:t xml:space="preserve"> </w:t>
            </w:r>
            <w:r>
              <w:rPr>
                <w:rFonts w:hint="eastAsia"/>
              </w:rPr>
              <w:t>最高管理者制定了文件化的职业健康安全方针：</w:t>
            </w:r>
          </w:p>
          <w:p>
            <w:pPr>
              <w:ind w:firstLine="420" w:firstLineChars="200"/>
              <w:rPr>
                <w:rFonts w:hint="eastAsia"/>
                <w:u w:val="single"/>
              </w:rPr>
            </w:pPr>
            <w:r>
              <w:rPr>
                <w:rFonts w:hint="eastAsia"/>
                <w:u w:val="single"/>
              </w:rPr>
              <w:t xml:space="preserve">   精心设计、尽心服务、持续改进、顾客满意、环境和谐 、安全健康 、 预防为主、 诚信守法、  持续改进</w:t>
            </w:r>
          </w:p>
          <w:p>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w:t>
            </w:r>
          </w:p>
          <w:p>
            <w:r>
              <w:rPr>
                <w:rFonts w:hint="eastAsia"/>
              </w:rPr>
              <w:t xml:space="preserve">☑包括为制定职业健康安全目标提供框架； </w:t>
            </w:r>
          </w:p>
          <w:p>
            <w:r>
              <w:rPr>
                <w:rFonts w:hint="eastAsia"/>
              </w:rPr>
              <w:t>☑包括满足法律法规要求和其他要求的承诺</w:t>
            </w:r>
          </w:p>
          <w:p>
            <w:pPr>
              <w:rPr>
                <w:color w:val="000000"/>
              </w:rPr>
            </w:pPr>
            <w:r>
              <w:rPr>
                <w:rFonts w:hint="eastAsia"/>
              </w:rPr>
              <w:t>☑包括消除危险源和降低职业健康安全风险的承诺</w:t>
            </w:r>
          </w:p>
          <w:p>
            <w:r>
              <w:rPr>
                <w:rFonts w:hint="eastAsia"/>
              </w:rPr>
              <w:t>☑包括持续改进职业健康安全管理体系的承诺</w:t>
            </w:r>
          </w:p>
          <w:p>
            <w:r>
              <w:rPr>
                <w:rFonts w:hint="eastAsia"/>
              </w:rPr>
              <w:t>☑包括工作人员及其代表（若有）的协商和参与的承诺</w:t>
            </w:r>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组织的角色、职责和权限</w:t>
            </w:r>
          </w:p>
          <w:p/>
        </w:tc>
        <w:tc>
          <w:tcPr>
            <w:tcW w:w="960" w:type="dxa"/>
            <w:vMerge w:val="restart"/>
          </w:tcPr>
          <w:p>
            <w:r>
              <w:rPr>
                <w:rFonts w:hint="eastAsia"/>
              </w:rPr>
              <w:t>O5.3</w:t>
            </w:r>
          </w:p>
        </w:tc>
        <w:tc>
          <w:tcPr>
            <w:tcW w:w="745" w:type="dxa"/>
          </w:tcPr>
          <w:p>
            <w:r>
              <w:rPr>
                <w:rFonts w:hint="eastAsia"/>
              </w:rPr>
              <w:t>文件名称</w:t>
            </w:r>
          </w:p>
        </w:tc>
        <w:tc>
          <w:tcPr>
            <w:tcW w:w="9259" w:type="dxa"/>
          </w:tcPr>
          <w:p>
            <w:r>
              <w:rPr>
                <w:rFonts w:hint="eastAsia"/>
              </w:rPr>
              <w:t>如：管理手册第5.3章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综合部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设计部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销售过程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综合部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设计部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综合部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综合部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
            <w:r>
              <w:rPr>
                <w:rFonts w:hint="eastAsia"/>
              </w:rPr>
              <w:t>向最高管理者汇报，</w:t>
            </w:r>
            <w:r>
              <w:rPr>
                <w:rFonts w:hint="eastAsia"/>
              </w:rPr>
              <w:sym w:font="Wingdings" w:char="00FE"/>
            </w:r>
            <w:r>
              <w:rPr>
                <w:rFonts w:hint="eastAsia"/>
              </w:rPr>
              <w:t>管理者代表：</w:t>
            </w:r>
            <w:r>
              <w:rPr>
                <w:rFonts w:hint="eastAsia"/>
                <w:u w:val="single"/>
              </w:rPr>
              <w:t xml:space="preserve">   </w:t>
            </w:r>
            <w:r>
              <w:rPr>
                <w:rFonts w:hint="eastAsia"/>
                <w:u w:val="single"/>
                <w:lang w:val="en-US" w:eastAsia="zh-CN"/>
              </w:rPr>
              <w:t>林森</w:t>
            </w:r>
            <w:r>
              <w:rPr>
                <w:rFonts w:hint="eastAsia"/>
                <w:u w:val="single"/>
              </w:rPr>
              <w:t xml:space="preserve">    </w:t>
            </w:r>
            <w:r>
              <w:rPr>
                <w:rFonts w:hint="eastAsia"/>
              </w:rPr>
              <w:sym w:font="Wingdings" w:char="00A8"/>
            </w:r>
            <w:r>
              <w:rPr>
                <w:rFonts w:hint="eastAsia"/>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3" w:name="_Toc17985666"/>
            <w:r>
              <w:rPr>
                <w:rFonts w:hint="eastAsia" w:ascii="Arial" w:hAnsi="Arial"/>
              </w:rPr>
              <w:t>工作人员的协商和参与</w:t>
            </w:r>
            <w:bookmarkEnd w:id="3"/>
          </w:p>
        </w:tc>
        <w:tc>
          <w:tcPr>
            <w:tcW w:w="960" w:type="dxa"/>
            <w:vMerge w:val="restart"/>
          </w:tcPr>
          <w:p>
            <w:r>
              <w:rPr>
                <w:rFonts w:hint="eastAsia"/>
              </w:rPr>
              <w:t>O5.4</w:t>
            </w:r>
          </w:p>
        </w:tc>
        <w:tc>
          <w:tcPr>
            <w:tcW w:w="745" w:type="dxa"/>
          </w:tcPr>
          <w:p>
            <w:r>
              <w:rPr>
                <w:rFonts w:hint="eastAsia"/>
              </w:rPr>
              <w:t>文件名称</w:t>
            </w:r>
          </w:p>
        </w:tc>
        <w:tc>
          <w:tcPr>
            <w:tcW w:w="9259" w:type="dxa"/>
            <w:vAlign w:val="center"/>
          </w:tcPr>
          <w:p>
            <w:r>
              <w:rPr>
                <w:rFonts w:hint="eastAsia"/>
              </w:rPr>
              <w:t>如：管理手册第5.4章、《</w:t>
            </w:r>
            <w:r>
              <w:rPr>
                <w:rFonts w:hint="eastAsia" w:ascii="Arial" w:hAnsi="Arial"/>
              </w:rPr>
              <w:t>信息沟通控制程序</w:t>
            </w:r>
            <w:r>
              <w:rPr>
                <w:rFonts w:hint="eastAsia"/>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ind w:firstLine="420"/>
            </w:pPr>
            <w:r>
              <w:rPr>
                <w:rFonts w:hint="eastAsia"/>
              </w:rPr>
              <w:sym w:font="Wingdings" w:char="00FE"/>
            </w:r>
            <w:r>
              <w:rPr>
                <w:rFonts w:hint="eastAsia"/>
              </w:rPr>
              <w:t>安全事务代表：</w:t>
            </w:r>
            <w:r>
              <w:rPr>
                <w:rFonts w:hint="eastAsia"/>
                <w:u w:val="single"/>
              </w:rPr>
              <w:t xml:space="preserve">   </w:t>
            </w:r>
            <w:r>
              <w:rPr>
                <w:rFonts w:hint="eastAsia" w:ascii="宋体" w:hAnsi="宋体"/>
                <w:b/>
                <w:bCs/>
                <w:snapToGrid w:val="0"/>
                <w:kern w:val="0"/>
                <w:sz w:val="24"/>
                <w:u w:val="single"/>
              </w:rPr>
              <w:t>魏娜</w:t>
            </w:r>
            <w:r>
              <w:rPr>
                <w:rFonts w:hint="eastAsia"/>
                <w:u w:val="single"/>
              </w:rPr>
              <w:t xml:space="preserve"> </w:t>
            </w:r>
            <w:r>
              <w:rPr>
                <w:u w:val="single"/>
              </w:rPr>
              <w:t xml:space="preserve"> </w:t>
            </w:r>
            <w:r>
              <w:rPr>
                <w:rFonts w:hint="eastAsia"/>
                <w:u w:val="single"/>
              </w:rPr>
              <w:t xml:space="preserve">  </w:t>
            </w:r>
            <w:r>
              <w:rPr>
                <w:rFonts w:hint="eastAsia"/>
              </w:rPr>
              <w:sym w:font="Wingdings" w:char="00FE"/>
            </w:r>
            <w:r>
              <w:rPr>
                <w:rFonts w:hint="eastAsia"/>
              </w:rPr>
              <w:t>共</w:t>
            </w:r>
            <w:r>
              <w:rPr>
                <w:rFonts w:hint="eastAsia"/>
                <w:u w:val="single"/>
              </w:rPr>
              <w:t xml:space="preserve">  1  </w:t>
            </w:r>
            <w:r>
              <w:rPr>
                <w:rFonts w:hint="eastAsia"/>
              </w:rPr>
              <w:t>名</w:t>
            </w:r>
          </w:p>
          <w:tbl>
            <w:tblPr>
              <w:tblStyle w:val="8"/>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115"/>
              <w:gridCol w:w="1519"/>
              <w:gridCol w:w="1116"/>
              <w:gridCol w:w="137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tcPr>
                <w:p>
                  <w:pPr>
                    <w:jc w:val="center"/>
                  </w:pPr>
                  <w:r>
                    <w:rPr>
                      <w:rFonts w:hint="eastAsia"/>
                    </w:rPr>
                    <w:t>协商参与机制</w:t>
                  </w:r>
                </w:p>
              </w:tc>
              <w:tc>
                <w:tcPr>
                  <w:tcW w:w="1115" w:type="dxa"/>
                  <w:shd w:val="clear" w:color="auto" w:fill="auto"/>
                </w:tcPr>
                <w:p>
                  <w:pPr>
                    <w:jc w:val="center"/>
                  </w:pPr>
                  <w:r>
                    <w:rPr>
                      <w:rFonts w:hint="eastAsia"/>
                    </w:rPr>
                    <w:t>协商时间</w:t>
                  </w:r>
                </w:p>
              </w:tc>
              <w:tc>
                <w:tcPr>
                  <w:tcW w:w="1519" w:type="dxa"/>
                  <w:shd w:val="clear" w:color="auto" w:fill="auto"/>
                </w:tcPr>
                <w:p>
                  <w:pPr>
                    <w:jc w:val="center"/>
                  </w:pPr>
                  <w:r>
                    <w:rPr>
                      <w:rFonts w:hint="eastAsia"/>
                    </w:rPr>
                    <w:t>培训</w:t>
                  </w:r>
                </w:p>
              </w:tc>
              <w:tc>
                <w:tcPr>
                  <w:tcW w:w="1116" w:type="dxa"/>
                  <w:shd w:val="clear" w:color="auto" w:fill="auto"/>
                </w:tcPr>
                <w:p>
                  <w:pPr>
                    <w:jc w:val="center"/>
                  </w:pPr>
                  <w:r>
                    <w:rPr>
                      <w:rFonts w:hint="eastAsia"/>
                    </w:rPr>
                    <w:t>资源</w:t>
                  </w:r>
                </w:p>
              </w:tc>
              <w:tc>
                <w:tcPr>
                  <w:tcW w:w="1379" w:type="dxa"/>
                  <w:shd w:val="clear" w:color="auto" w:fill="auto"/>
                </w:tcPr>
                <w:p>
                  <w:pPr>
                    <w:jc w:val="center"/>
                  </w:pPr>
                  <w:r>
                    <w:rPr>
                      <w:rFonts w:hint="eastAsia"/>
                    </w:rPr>
                    <w:t>访问渠道</w:t>
                  </w:r>
                </w:p>
              </w:tc>
              <w:tc>
                <w:tcPr>
                  <w:tcW w:w="1818" w:type="dxa"/>
                  <w:shd w:val="clear" w:color="auto" w:fill="auto"/>
                </w:tcPr>
                <w:p>
                  <w:pPr>
                    <w:jc w:val="center"/>
                  </w:pPr>
                  <w:r>
                    <w:rPr>
                      <w:rFonts w:hint="eastAsia"/>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r>
                    <w:rPr>
                      <w:rFonts w:hint="eastAsia"/>
                    </w:rPr>
                    <w:t>选举工作人员代表</w:t>
                  </w:r>
                </w:p>
              </w:tc>
              <w:tc>
                <w:tcPr>
                  <w:tcW w:w="1115" w:type="dxa"/>
                  <w:shd w:val="clear" w:color="auto" w:fill="auto"/>
                  <w:vAlign w:val="center"/>
                </w:tcPr>
                <w:p>
                  <w:r>
                    <w:rPr>
                      <w:rFonts w:hint="eastAsia"/>
                    </w:rPr>
                    <w:t>每年</w:t>
                  </w:r>
                </w:p>
              </w:tc>
              <w:tc>
                <w:tcPr>
                  <w:tcW w:w="1519" w:type="dxa"/>
                  <w:shd w:val="clear" w:color="auto" w:fill="auto"/>
                  <w:vAlign w:val="center"/>
                </w:tcPr>
                <w:p>
                  <w:r>
                    <w:rPr>
                      <w:rFonts w:hint="eastAsia"/>
                    </w:rPr>
                    <w:t>每年一次</w:t>
                  </w:r>
                </w:p>
              </w:tc>
              <w:tc>
                <w:tcPr>
                  <w:tcW w:w="1116" w:type="dxa"/>
                  <w:shd w:val="clear" w:color="auto" w:fill="auto"/>
                </w:tcPr>
                <w:p>
                  <w:r>
                    <w:rPr>
                      <w:rFonts w:hint="eastAsia"/>
                    </w:rPr>
                    <w:t>提供资金、场所</w:t>
                  </w:r>
                </w:p>
              </w:tc>
              <w:tc>
                <w:tcPr>
                  <w:tcW w:w="1379" w:type="dxa"/>
                  <w:shd w:val="clear" w:color="auto" w:fill="auto"/>
                  <w:vAlign w:val="center"/>
                </w:tcPr>
                <w:p>
                  <w:r>
                    <w:rPr>
                      <w:rFonts w:hint="eastAsia"/>
                    </w:rPr>
                    <w:t>会议</w:t>
                  </w:r>
                </w:p>
              </w:tc>
              <w:tc>
                <w:tcPr>
                  <w:tcW w:w="1818"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r>
                    <w:rPr>
                      <w:rFonts w:hint="eastAsia"/>
                    </w:rPr>
                    <w:t>合理化建议</w:t>
                  </w:r>
                </w:p>
              </w:tc>
              <w:tc>
                <w:tcPr>
                  <w:tcW w:w="1115" w:type="dxa"/>
                  <w:shd w:val="clear" w:color="auto" w:fill="auto"/>
                  <w:vAlign w:val="center"/>
                </w:tcPr>
                <w:p>
                  <w:r>
                    <w:rPr>
                      <w:rFonts w:hint="eastAsia"/>
                    </w:rPr>
                    <w:t>随时</w:t>
                  </w:r>
                </w:p>
              </w:tc>
              <w:tc>
                <w:tcPr>
                  <w:tcW w:w="1519" w:type="dxa"/>
                  <w:shd w:val="clear" w:color="auto" w:fill="auto"/>
                </w:tcPr>
                <w:p>
                  <w:r>
                    <w:rPr>
                      <w:rFonts w:hint="eastAsia"/>
                    </w:rPr>
                    <w:t>按照公司安排</w:t>
                  </w:r>
                </w:p>
              </w:tc>
              <w:tc>
                <w:tcPr>
                  <w:tcW w:w="1116" w:type="dxa"/>
                  <w:shd w:val="clear" w:color="auto" w:fill="auto"/>
                </w:tcPr>
                <w:p>
                  <w:r>
                    <w:rPr>
                      <w:rFonts w:hint="eastAsia"/>
                    </w:rPr>
                    <w:t>意见箱</w:t>
                  </w:r>
                </w:p>
              </w:tc>
              <w:tc>
                <w:tcPr>
                  <w:tcW w:w="1379" w:type="dxa"/>
                  <w:shd w:val="clear" w:color="auto" w:fill="auto"/>
                </w:tcPr>
                <w:p>
                  <w:r>
                    <w:rPr>
                      <w:rFonts w:hint="eastAsia"/>
                    </w:rPr>
                    <w:t>面谈</w:t>
                  </w:r>
                </w:p>
              </w:tc>
              <w:tc>
                <w:tcPr>
                  <w:tcW w:w="1818"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r>
                    <w:rPr>
                      <w:rFonts w:hint="eastAsia"/>
                    </w:rPr>
                    <w:t>重大变化</w:t>
                  </w:r>
                </w:p>
              </w:tc>
              <w:tc>
                <w:tcPr>
                  <w:tcW w:w="1115" w:type="dxa"/>
                  <w:shd w:val="clear" w:color="auto" w:fill="auto"/>
                  <w:vAlign w:val="center"/>
                </w:tcPr>
                <w:p>
                  <w:r>
                    <w:rPr>
                      <w:rFonts w:hint="eastAsia"/>
                    </w:rPr>
                    <w:t>发生前</w:t>
                  </w:r>
                </w:p>
              </w:tc>
              <w:tc>
                <w:tcPr>
                  <w:tcW w:w="1519" w:type="dxa"/>
                  <w:shd w:val="clear" w:color="auto" w:fill="auto"/>
                </w:tcPr>
                <w:p>
                  <w:r>
                    <w:rPr>
                      <w:rFonts w:hint="eastAsia"/>
                    </w:rPr>
                    <w:t>按照公司安排</w:t>
                  </w:r>
                </w:p>
              </w:tc>
              <w:tc>
                <w:tcPr>
                  <w:tcW w:w="1116" w:type="dxa"/>
                  <w:shd w:val="clear" w:color="auto" w:fill="auto"/>
                </w:tcPr>
                <w:p>
                  <w:r>
                    <w:rPr>
                      <w:rFonts w:hint="eastAsia"/>
                    </w:rPr>
                    <w:t>会议室</w:t>
                  </w:r>
                </w:p>
              </w:tc>
              <w:tc>
                <w:tcPr>
                  <w:tcW w:w="1379" w:type="dxa"/>
                  <w:shd w:val="clear" w:color="auto" w:fill="auto"/>
                </w:tcPr>
                <w:p>
                  <w:r>
                    <w:rPr>
                      <w:rFonts w:hint="eastAsia"/>
                    </w:rPr>
                    <w:t>面谈、会议</w:t>
                  </w:r>
                </w:p>
              </w:tc>
              <w:tc>
                <w:tcPr>
                  <w:tcW w:w="1818"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r>
                    <w:rPr>
                      <w:rFonts w:hint="eastAsia"/>
                    </w:rPr>
                    <w:t>工伤事件</w:t>
                  </w:r>
                </w:p>
              </w:tc>
              <w:tc>
                <w:tcPr>
                  <w:tcW w:w="1115" w:type="dxa"/>
                  <w:shd w:val="clear" w:color="auto" w:fill="auto"/>
                  <w:vAlign w:val="center"/>
                </w:tcPr>
                <w:p>
                  <w:r>
                    <w:rPr>
                      <w:rFonts w:hint="eastAsia"/>
                    </w:rPr>
                    <w:t>调查时</w:t>
                  </w:r>
                </w:p>
              </w:tc>
              <w:tc>
                <w:tcPr>
                  <w:tcW w:w="1519" w:type="dxa"/>
                  <w:shd w:val="clear" w:color="auto" w:fill="auto"/>
                </w:tcPr>
                <w:p>
                  <w:r>
                    <w:rPr>
                      <w:rFonts w:hint="eastAsia"/>
                    </w:rPr>
                    <w:t>按照公司安排</w:t>
                  </w:r>
                </w:p>
              </w:tc>
              <w:tc>
                <w:tcPr>
                  <w:tcW w:w="1116" w:type="dxa"/>
                  <w:shd w:val="clear" w:color="auto" w:fill="auto"/>
                </w:tcPr>
                <w:p>
                  <w:r>
                    <w:rPr>
                      <w:rFonts w:hint="eastAsia"/>
                    </w:rPr>
                    <w:t>会议室</w:t>
                  </w:r>
                </w:p>
              </w:tc>
              <w:tc>
                <w:tcPr>
                  <w:tcW w:w="1379" w:type="dxa"/>
                  <w:shd w:val="clear" w:color="auto" w:fill="auto"/>
                </w:tcPr>
                <w:p>
                  <w:r>
                    <w:rPr>
                      <w:rFonts w:hint="eastAsia"/>
                    </w:rPr>
                    <w:t>面谈、会议</w:t>
                  </w:r>
                </w:p>
              </w:tc>
              <w:tc>
                <w:tcPr>
                  <w:tcW w:w="1818" w:type="dxa"/>
                  <w:shd w:val="clear" w:color="auto" w:fill="auto"/>
                  <w:vAlign w:val="center"/>
                </w:tcPr>
                <w:p>
                  <w:r>
                    <w:rPr>
                      <w:rFonts w:hint="eastAsia"/>
                    </w:rPr>
                    <w:t>面谈、微信、电话</w:t>
                  </w:r>
                </w:p>
              </w:tc>
            </w:tr>
          </w:tbl>
          <w:p/>
          <w:p>
            <w:r>
              <w:rPr>
                <w:rFonts w:hint="eastAsia"/>
              </w:rPr>
              <w:t>与非管理类工作人员在如下方面的：</w:t>
            </w:r>
          </w:p>
          <w:tbl>
            <w:tblPr>
              <w:tblStyle w:val="8"/>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协商的内容</w:t>
                  </w:r>
                </w:p>
              </w:tc>
              <w:tc>
                <w:tcPr>
                  <w:tcW w:w="2105" w:type="dxa"/>
                </w:tcPr>
                <w:p>
                  <w:r>
                    <w:rPr>
                      <w:rFonts w:hint="eastAsia"/>
                    </w:rPr>
                    <w:t>协商的时机</w:t>
                  </w:r>
                </w:p>
              </w:tc>
              <w:tc>
                <w:tcPr>
                  <w:tcW w:w="2689" w:type="dxa"/>
                </w:tcPr>
                <w:p>
                  <w:r>
                    <w:rPr>
                      <w:rFonts w:hint="eastAsia"/>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确定相关方的需求和期望</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建立职业健康安全方针</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分配组织的角色、职责和权限</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确定如何满足法律法规要求和其他要求</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制定职业健康安全目标并为其实现进行策划</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确定对外包、采购和承包方的适用控制</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确定所需监视、测量和评价的内容</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策划、建立、实施和保持审核方案</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确保持续改进</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bl>
          <w:p/>
          <w:p>
            <w:r>
              <w:rPr>
                <w:rFonts w:hint="eastAsia"/>
              </w:rPr>
              <w:t>与非管理类工作人员在如下方面的参与：</w:t>
            </w:r>
          </w:p>
          <w:tbl>
            <w:tblPr>
              <w:tblStyle w:val="8"/>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9" w:type="dxa"/>
                </w:tcPr>
                <w:p>
                  <w:pPr>
                    <w:jc w:val="center"/>
                  </w:pPr>
                  <w:r>
                    <w:rPr>
                      <w:rFonts w:hint="eastAsia"/>
                    </w:rPr>
                    <w:t>参与的内容</w:t>
                  </w:r>
                </w:p>
              </w:tc>
              <w:tc>
                <w:tcPr>
                  <w:tcW w:w="2105" w:type="dxa"/>
                </w:tcPr>
                <w:p>
                  <w:pPr>
                    <w:jc w:val="center"/>
                  </w:pPr>
                  <w:r>
                    <w:rPr>
                      <w:rFonts w:hint="eastAsia"/>
                    </w:rPr>
                    <w:t>参与的时机</w:t>
                  </w:r>
                </w:p>
              </w:tc>
              <w:tc>
                <w:tcPr>
                  <w:tcW w:w="2689" w:type="dxa"/>
                </w:tcPr>
                <w:p>
                  <w:pPr>
                    <w:jc w:val="center"/>
                  </w:pPr>
                  <w:r>
                    <w:rPr>
                      <w:rFonts w:hint="eastAsia"/>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确定其协商和参与的机制</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辨识危险源并评价风险和机遇</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确定消除危险源和降低职业健康安全风险的措施</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确定能力要求、培训需求、培训和培训效果评价</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确定沟通的内容和方式</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确定控制措施及其有效的实施和应用</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调查事件和不符合并确定纠正措施</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应对风险和机遇的措施</w:t>
            </w:r>
          </w:p>
        </w:tc>
        <w:tc>
          <w:tcPr>
            <w:tcW w:w="960" w:type="dxa"/>
            <w:vMerge w:val="restart"/>
          </w:tcPr>
          <w:p>
            <w:r>
              <w:rPr>
                <w:rFonts w:hint="eastAsia"/>
                <w:color w:val="000000"/>
                <w:szCs w:val="21"/>
              </w:rPr>
              <w:t>O6.1.1</w:t>
            </w:r>
          </w:p>
        </w:tc>
        <w:tc>
          <w:tcPr>
            <w:tcW w:w="745" w:type="dxa"/>
          </w:tcPr>
          <w:p>
            <w:r>
              <w:rPr>
                <w:rFonts w:hint="eastAsia"/>
              </w:rPr>
              <w:t>文件名称</w:t>
            </w:r>
          </w:p>
        </w:tc>
        <w:tc>
          <w:tcPr>
            <w:tcW w:w="9259" w:type="dxa"/>
          </w:tcPr>
          <w:p>
            <w:r>
              <w:rPr>
                <w:rFonts w:hint="eastAsia"/>
              </w:rPr>
              <w:t>如</w:t>
            </w:r>
            <w:r>
              <w:rPr>
                <w:rFonts w:hint="eastAsia"/>
                <w:color w:val="auto"/>
              </w:rPr>
              <w:t>：《</w:t>
            </w:r>
            <w:r>
              <w:rPr>
                <w:rFonts w:hint="eastAsia"/>
                <w:color w:val="auto"/>
                <w:szCs w:val="21"/>
              </w:rPr>
              <w:t>风险和机遇管制程序</w:t>
            </w:r>
            <w:r>
              <w:rPr>
                <w:rFonts w:hint="eastAsia"/>
                <w:color w:val="auto"/>
              </w:rPr>
              <w:t>》、</w:t>
            </w:r>
            <w:r>
              <w:rPr>
                <w:rFonts w:hint="eastAsia"/>
                <w:color w:val="auto"/>
                <w:lang w:eastAsia="zh-CN"/>
              </w:rPr>
              <w:t>管理</w:t>
            </w:r>
            <w:r>
              <w:rPr>
                <w:rFonts w:hint="eastAsia"/>
                <w:color w:val="auto"/>
              </w:rPr>
              <w:t>手册第6.1条款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A8"/>
            </w:r>
            <w:r>
              <w:rPr>
                <w:rFonts w:hint="eastAsia"/>
              </w:rPr>
              <w:t xml:space="preserve">头脑风暴法 </w:t>
            </w:r>
            <w:r>
              <w:rPr>
                <w:rFonts w:hint="eastAsia"/>
              </w:rPr>
              <w:sym w:font="Wingdings" w:char="00A8"/>
            </w:r>
            <w:r>
              <w:rPr>
                <w:rFonts w:hint="eastAsia"/>
              </w:rPr>
              <w:t>FMEA（潜在失效模式分析）</w:t>
            </w:r>
            <w:r>
              <w:rPr>
                <w:rFonts w:hint="eastAsia"/>
                <w:lang w:val="en-US" w:eastAsia="zh-CN"/>
              </w:rPr>
              <w:t xml:space="preserve"> </w:t>
            </w:r>
            <w:r>
              <w:rPr>
                <w:rFonts w:hint="eastAsia"/>
              </w:rPr>
              <w:sym w:font="Wingdings" w:char="00FE"/>
            </w:r>
            <w:r>
              <w:rPr>
                <w:rFonts w:hint="eastAsia"/>
              </w:rPr>
              <w:t>其他</w:t>
            </w:r>
          </w:p>
          <w:p>
            <w:pPr>
              <w:ind w:firstLine="420"/>
              <w:rPr>
                <w:highlight w:val="cyan"/>
              </w:rPr>
            </w:pPr>
          </w:p>
          <w:p>
            <w:r>
              <w:rPr>
                <w:rFonts w:hint="eastAsia"/>
              </w:rPr>
              <w:t>在确定所需应对的与职业健康安全管理体系及其预期结果有关的风险和机遇时，组织考虑了：</w:t>
            </w:r>
          </w:p>
          <w:p>
            <w:r>
              <w:rPr>
                <w:rFonts w:hint="eastAsia"/>
              </w:rPr>
              <w:sym w:font="Wingdings" w:char="00FE"/>
            </w:r>
            <w:r>
              <w:rPr>
                <w:rFonts w:hint="eastAsia" w:ascii="宋体" w:hAnsi="宋体" w:cs="宋体"/>
              </w:rPr>
              <w:t xml:space="preserve"> </w:t>
            </w:r>
            <w:r>
              <w:rPr>
                <w:rFonts w:hint="eastAsia"/>
              </w:rPr>
              <w:t>危险源</w:t>
            </w:r>
          </w:p>
          <w:p>
            <w:r>
              <w:rPr>
                <w:rFonts w:hint="eastAsia"/>
              </w:rPr>
              <w:sym w:font="Wingdings" w:char="00FE"/>
            </w:r>
            <w:r>
              <w:rPr>
                <w:rFonts w:hint="eastAsia" w:ascii="宋体" w:hAnsi="宋体" w:cs="宋体"/>
              </w:rPr>
              <w:t xml:space="preserve"> </w:t>
            </w:r>
            <w:r>
              <w:rPr>
                <w:rFonts w:hint="eastAsia"/>
              </w:rPr>
              <w:t>职业健康安全风险和其他风险</w:t>
            </w:r>
          </w:p>
          <w:p>
            <w:r>
              <w:rPr>
                <w:rFonts w:hint="eastAsia"/>
              </w:rPr>
              <w:sym w:font="Wingdings" w:char="00FE"/>
            </w:r>
            <w:r>
              <w:rPr>
                <w:rFonts w:hint="eastAsia" w:ascii="宋体" w:hAnsi="宋体" w:cs="宋体"/>
              </w:rPr>
              <w:t xml:space="preserve"> </w:t>
            </w:r>
            <w:r>
              <w:rPr>
                <w:rFonts w:hint="eastAsia"/>
              </w:rPr>
              <w:t>职业健康安全机遇和其他机遇</w:t>
            </w:r>
          </w:p>
          <w:p>
            <w:r>
              <w:rPr>
                <w:rFonts w:hint="eastAsia"/>
              </w:rPr>
              <w:sym w:font="Wingdings" w:char="00FE"/>
            </w:r>
            <w:r>
              <w:rPr>
                <w:rFonts w:hint="eastAsia" w:ascii="宋体" w:hAnsi="宋体" w:cs="宋体"/>
              </w:rPr>
              <w:t xml:space="preserve"> </w:t>
            </w:r>
            <w:r>
              <w:rPr>
                <w:rFonts w:hint="eastAsia"/>
              </w:rPr>
              <w:t>法律法规要求和其他要求</w:t>
            </w:r>
          </w:p>
          <w:p/>
          <w:p>
            <w:r>
              <w:rPr>
                <w:rFonts w:hint="eastAsia"/>
              </w:rPr>
              <w:t xml:space="preserve">列举2~4项应对主要风险的描述：         </w:t>
            </w:r>
          </w:p>
          <w:tbl>
            <w:tblPr>
              <w:tblStyle w:val="8"/>
              <w:tblpPr w:leftFromText="180" w:rightFromText="180" w:vertAnchor="text" w:horzAnchor="page" w:tblpX="97" w:tblpY="208"/>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513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44" w:type="dxa"/>
                  <w:vAlign w:val="center"/>
                </w:tcPr>
                <w:p>
                  <w:pPr>
                    <w:jc w:val="center"/>
                  </w:pPr>
                  <w:r>
                    <w:rPr>
                      <w:rFonts w:hint="eastAsia"/>
                    </w:rPr>
                    <w:t>主要的风险描述</w:t>
                  </w:r>
                </w:p>
              </w:tc>
              <w:tc>
                <w:tcPr>
                  <w:tcW w:w="5139" w:type="dxa"/>
                  <w:vAlign w:val="center"/>
                </w:tcPr>
                <w:p>
                  <w:pPr>
                    <w:jc w:val="center"/>
                    <w:rPr>
                      <w:szCs w:val="24"/>
                    </w:rPr>
                  </w:pPr>
                  <w:r>
                    <w:rPr>
                      <w:rFonts w:hint="eastAsia"/>
                    </w:rPr>
                    <w:t>应对措施</w:t>
                  </w:r>
                </w:p>
              </w:tc>
              <w:tc>
                <w:tcPr>
                  <w:tcW w:w="1717" w:type="dxa"/>
                  <w:vAlign w:val="center"/>
                </w:tcPr>
                <w:p>
                  <w:pPr>
                    <w:jc w:val="cente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火灾</w:t>
                  </w:r>
                </w:p>
              </w:tc>
              <w:tc>
                <w:tcPr>
                  <w:tcW w:w="5139" w:type="dxa"/>
                </w:tcPr>
                <w:p>
                  <w:pPr>
                    <w:jc w:val="center"/>
                    <w:rPr>
                      <w:szCs w:val="22"/>
                    </w:rPr>
                  </w:pPr>
                  <w:r>
                    <w:rPr>
                      <w:rFonts w:hint="eastAsia"/>
                      <w:szCs w:val="22"/>
                    </w:rPr>
                    <w:t>编制管理方案和应急预案，定期演练，加强日常检查</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触电</w:t>
                  </w:r>
                </w:p>
              </w:tc>
              <w:tc>
                <w:tcPr>
                  <w:tcW w:w="5139" w:type="dxa"/>
                </w:tcPr>
                <w:p>
                  <w:pPr>
                    <w:jc w:val="center"/>
                    <w:rPr>
                      <w:szCs w:val="22"/>
                    </w:rPr>
                  </w:pPr>
                  <w:r>
                    <w:rPr>
                      <w:rFonts w:hint="eastAsia"/>
                      <w:szCs w:val="22"/>
                    </w:rPr>
                    <w:t>日常检查</w:t>
                  </w:r>
                  <w:r>
                    <w:rPr>
                      <w:rFonts w:hint="eastAsia"/>
                      <w:szCs w:val="22"/>
                      <w:lang w:eastAsia="zh-CN"/>
                    </w:rPr>
                    <w:t>，安全用电</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lang w:val="en-US" w:eastAsia="zh-CN"/>
                    </w:rPr>
                    <w:t>人身</w:t>
                  </w:r>
                  <w:r>
                    <w:rPr>
                      <w:rFonts w:hint="eastAsia"/>
                      <w:szCs w:val="22"/>
                    </w:rPr>
                    <w:t>伤害</w:t>
                  </w:r>
                </w:p>
              </w:tc>
              <w:tc>
                <w:tcPr>
                  <w:tcW w:w="5139" w:type="dxa"/>
                </w:tcPr>
                <w:p>
                  <w:pPr>
                    <w:jc w:val="center"/>
                    <w:rPr>
                      <w:rFonts w:hint="eastAsia" w:eastAsia="宋体"/>
                      <w:szCs w:val="22"/>
                      <w:lang w:eastAsia="zh-CN"/>
                    </w:rPr>
                  </w:pPr>
                  <w:r>
                    <w:rPr>
                      <w:rFonts w:hint="eastAsia"/>
                      <w:szCs w:val="22"/>
                      <w:lang w:eastAsia="zh-CN"/>
                    </w:rPr>
                    <w:t>加强防护，人员培训，选用安全性高的设备</w:t>
                  </w:r>
                </w:p>
              </w:tc>
              <w:tc>
                <w:tcPr>
                  <w:tcW w:w="1717" w:type="dxa"/>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有效 </w:t>
                  </w:r>
                  <w:r>
                    <w:rPr>
                      <w:rFonts w:hint="eastAsia"/>
                    </w:rPr>
                    <w:sym w:font="Wingdings" w:char="00A8"/>
                  </w:r>
                  <w:r>
                    <w:rPr>
                      <w:rFonts w:hint="eastAsia"/>
                    </w:rPr>
                    <w:t>无效</w:t>
                  </w:r>
                </w:p>
              </w:tc>
            </w:tr>
          </w:tbl>
          <w:p/>
          <w:p>
            <w:r>
              <w:rPr>
                <w:rFonts w:hint="eastAsia"/>
              </w:rPr>
              <w:t xml:space="preserve">改进职业健康安全绩效的机遇可包括： </w:t>
            </w:r>
          </w:p>
          <w:p>
            <w:r>
              <w:rPr>
                <w:rFonts w:hint="eastAsia"/>
              </w:rPr>
              <w:sym w:font="Wingdings" w:char="00FE"/>
            </w:r>
            <w:r>
              <w:rPr>
                <w:rFonts w:hint="eastAsia"/>
              </w:rPr>
              <w:t xml:space="preserve">发挥检查和审核作用                    </w:t>
            </w:r>
            <w:r>
              <w:rPr>
                <w:rFonts w:hint="eastAsia"/>
              </w:rPr>
              <w:sym w:font="Wingdings" w:char="00FE"/>
            </w:r>
            <w:r>
              <w:t>工作危险源分析（工作安全分析）和相关任务评价</w:t>
            </w:r>
            <w:r>
              <w:rPr>
                <w:rFonts w:hint="eastAsia"/>
              </w:rPr>
              <w:t xml:space="preserve">  </w:t>
            </w:r>
          </w:p>
          <w:p>
            <w:r>
              <w:rPr>
                <w:rFonts w:hint="eastAsia"/>
              </w:rPr>
              <w:sym w:font="Wingdings" w:char="00FE"/>
            </w:r>
            <w:r>
              <w:t>通过减轻单调的工作或具有潜在危险的预设工作速率的工作来改进职业健康安全绩效</w:t>
            </w:r>
            <w:r>
              <w:rPr>
                <w:rFonts w:hint="eastAsia"/>
              </w:rPr>
              <w:t xml:space="preserve">  </w:t>
            </w:r>
          </w:p>
          <w:p>
            <w:r>
              <w:rPr>
                <w:rFonts w:hint="eastAsia"/>
              </w:rPr>
              <w:sym w:font="Wingdings" w:char="00FE"/>
            </w:r>
            <w:r>
              <w:t>工作许可及其他的认可和控制方法</w:t>
            </w:r>
            <w:r>
              <w:rPr>
                <w:rFonts w:hint="eastAsia"/>
              </w:rPr>
              <w:t xml:space="preserve">        </w:t>
            </w:r>
            <w:r>
              <w:rPr>
                <w:rFonts w:hint="eastAsia"/>
              </w:rPr>
              <w:sym w:font="Wingdings" w:char="00FE"/>
            </w:r>
            <w:r>
              <w:t>事件或不符合调查和纠正措施</w:t>
            </w:r>
            <w:r>
              <w:rPr>
                <w:rFonts w:hint="eastAsia"/>
              </w:rPr>
              <w:t xml:space="preserve">  </w:t>
            </w:r>
          </w:p>
          <w:p>
            <w:r>
              <w:rPr>
                <w:rFonts w:hint="eastAsia"/>
              </w:rPr>
              <w:sym w:font="Wingdings" w:char="00FE"/>
            </w:r>
            <w:r>
              <w:t>人类工效学和其他与伤害预防有关的评价</w:t>
            </w:r>
            <w:r>
              <w:rPr>
                <w:rFonts w:hint="eastAsia"/>
              </w:rPr>
              <w:t xml:space="preserve">  </w:t>
            </w:r>
            <w:r>
              <w:rPr>
                <w:rFonts w:hint="eastAsia"/>
              </w:rPr>
              <w:sym w:font="Wingdings" w:char="00A8"/>
            </w:r>
            <w:r>
              <w:rPr>
                <w:rFonts w:hint="eastAsia"/>
              </w:rPr>
              <w:t>其他</w:t>
            </w:r>
          </w:p>
          <w:p/>
          <w:p>
            <w:r>
              <w:rPr>
                <w:rFonts w:hint="eastAsia"/>
              </w:rPr>
              <w:t>改进职业健康安全绩效的其他机遇包括：</w:t>
            </w:r>
          </w:p>
          <w:p>
            <w:r>
              <w:rPr>
                <w:rFonts w:hint="eastAsia"/>
              </w:rPr>
              <w:sym w:font="Wingdings" w:char="00FE"/>
            </w:r>
            <w:r>
              <w:rPr>
                <w:rFonts w:hint="eastAsia"/>
              </w:rPr>
              <w:t xml:space="preserve"> 对于设施重置、过程重设，或机器和厂房的更换的策划，在设施、设备或过程的生命周期最早期阶段融入职业健康安全要求；</w:t>
            </w:r>
          </w:p>
          <w:p>
            <w:r>
              <w:rPr>
                <w:rFonts w:hint="eastAsia"/>
              </w:rPr>
              <w:sym w:font="Wingdings" w:char="00FE"/>
            </w:r>
            <w:r>
              <w:rPr>
                <w:rFonts w:hint="eastAsia"/>
              </w:rPr>
              <w:t xml:space="preserve"> 对于设施重置、过程重设，或机器和厂房的更换，在策划的最早期阶段融入职业健康安全要求；</w:t>
            </w:r>
          </w:p>
          <w:p>
            <w:r>
              <w:rPr>
                <w:rFonts w:hint="eastAsia"/>
              </w:rPr>
              <w:sym w:font="Wingdings" w:char="00FE"/>
            </w:r>
            <w:r>
              <w:rPr>
                <w:rFonts w:hint="eastAsia"/>
              </w:rPr>
              <w:t xml:space="preserve"> 应用新技术提升职业健康安全绩效；</w:t>
            </w:r>
          </w:p>
          <w:p>
            <w:r>
              <w:rPr>
                <w:rFonts w:hint="eastAsia"/>
              </w:rPr>
              <w:sym w:font="Wingdings" w:char="00FE"/>
            </w:r>
            <w:r>
              <w:rPr>
                <w:rFonts w:hint="eastAsia"/>
              </w:rPr>
              <w:t xml:space="preserve"> 通过诸如扩展超越要求的与职业健康安全相关的能力，或鼓励工作人员及时报告事件等来改善职业健康安全文化；</w:t>
            </w:r>
          </w:p>
          <w:p>
            <w:r>
              <w:rPr>
                <w:rFonts w:hint="eastAsia"/>
              </w:rPr>
              <w:sym w:font="Wingdings" w:char="00FE"/>
            </w:r>
            <w:r>
              <w:rPr>
                <w:rFonts w:hint="eastAsia"/>
              </w:rPr>
              <w:t xml:space="preserve"> 提高对最高管理者支持职业健康安全管理体系的感知度；</w:t>
            </w:r>
          </w:p>
          <w:p>
            <w:r>
              <w:rPr>
                <w:rFonts w:hint="eastAsia"/>
              </w:rPr>
              <w:sym w:font="Wingdings" w:char="00FE"/>
            </w:r>
            <w:r>
              <w:rPr>
                <w:rFonts w:hint="eastAsia"/>
              </w:rPr>
              <w:t xml:space="preserve"> 强化事件调查过程；</w:t>
            </w:r>
          </w:p>
          <w:p>
            <w:r>
              <w:rPr>
                <w:rFonts w:hint="eastAsia"/>
              </w:rPr>
              <w:sym w:font="Wingdings" w:char="00FE"/>
            </w:r>
            <w:r>
              <w:rPr>
                <w:rFonts w:hint="eastAsia"/>
              </w:rPr>
              <w:t xml:space="preserve"> 改进工作人员协商和参与的过程；</w:t>
            </w:r>
          </w:p>
          <w:p>
            <w:r>
              <w:rPr>
                <w:rFonts w:hint="eastAsia"/>
              </w:rPr>
              <w:sym w:font="Wingdings" w:char="00FE"/>
            </w:r>
            <w:r>
              <w:rPr>
                <w:rFonts w:hint="eastAsia"/>
              </w:rPr>
              <w:t xml:space="preserve"> 标杆管理，包括考虑组织自身以往的绩效和其他组织的绩效；</w:t>
            </w:r>
          </w:p>
          <w:p>
            <w:r>
              <w:rPr>
                <w:rFonts w:hint="eastAsia"/>
              </w:rPr>
              <w:sym w:font="Wingdings" w:char="00FE"/>
            </w:r>
            <w:r>
              <w:rPr>
                <w:rFonts w:hint="eastAsia"/>
              </w:rPr>
              <w:t xml:space="preserve"> 在职业健康安全专题论坛中寻求合作。</w:t>
            </w:r>
          </w:p>
          <w:p/>
          <w:p>
            <w:pPr>
              <w:rPr>
                <w:rFonts w:hint="eastAsia"/>
              </w:rPr>
            </w:pPr>
            <w:r>
              <w:rPr>
                <w:rFonts w:hint="eastAsia"/>
              </w:rPr>
              <w:t>列举2~3项应对重要机遇的描述：</w:t>
            </w:r>
          </w:p>
          <w:tbl>
            <w:tblPr>
              <w:tblStyle w:val="8"/>
              <w:tblpPr w:leftFromText="180" w:rightFromText="180" w:vertAnchor="text" w:horzAnchor="page" w:tblpX="106" w:tblpY="206"/>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4967"/>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tcPr>
                <w:p>
                  <w:pPr>
                    <w:rPr>
                      <w:color w:val="auto"/>
                    </w:rPr>
                  </w:pPr>
                  <w:r>
                    <w:rPr>
                      <w:rFonts w:hint="eastAsia"/>
                      <w:color w:val="auto"/>
                    </w:rPr>
                    <w:t>主要的机遇描述</w:t>
                  </w:r>
                </w:p>
              </w:tc>
              <w:tc>
                <w:tcPr>
                  <w:tcW w:w="4967" w:type="dxa"/>
                </w:tcPr>
                <w:p>
                  <w:pPr>
                    <w:rPr>
                      <w:color w:val="auto"/>
                      <w:szCs w:val="24"/>
                    </w:rPr>
                  </w:pPr>
                  <w:r>
                    <w:rPr>
                      <w:rFonts w:hint="eastAsia"/>
                      <w:color w:val="auto"/>
                    </w:rPr>
                    <w:t>应对措施</w:t>
                  </w:r>
                </w:p>
              </w:tc>
              <w:tc>
                <w:tcPr>
                  <w:tcW w:w="1755"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tcPr>
                <w:p>
                  <w:pPr>
                    <w:rPr>
                      <w:color w:val="auto"/>
                      <w:szCs w:val="24"/>
                    </w:rPr>
                  </w:pPr>
                  <w:r>
                    <w:rPr>
                      <w:rFonts w:hint="eastAsia"/>
                    </w:rPr>
                    <w:t>公司目前主要人员还算稳定，各项绩效考核能顺利开展，为公司的发展提供一个比较好的基础。</w:t>
                  </w:r>
                </w:p>
              </w:tc>
              <w:tc>
                <w:tcPr>
                  <w:tcW w:w="4967" w:type="dxa"/>
                </w:tcPr>
                <w:p>
                  <w:r>
                    <w:t>1.</w:t>
                  </w:r>
                  <w:r>
                    <w:rPr>
                      <w:rFonts w:hint="eastAsia"/>
                    </w:rPr>
                    <w:t>各部门要及时关注员工的心理变换，注意工作方式，创造良好的工作环境，提高员工的归属感</w:t>
                  </w:r>
                </w:p>
                <w:p>
                  <w:r>
                    <w:t>2.综合部</w:t>
                  </w:r>
                  <w:r>
                    <w:rPr>
                      <w:rFonts w:hint="eastAsia"/>
                    </w:rPr>
                    <w:t>做好人员的储备，防止人员流失后给公司带来的风险；</w:t>
                  </w:r>
                </w:p>
                <w:p>
                  <w:pPr>
                    <w:pStyle w:val="2"/>
                    <w:rPr>
                      <w:color w:val="auto"/>
                    </w:rPr>
                  </w:pPr>
                  <w:r>
                    <w:t>3.</w:t>
                  </w:r>
                  <w:r>
                    <w:rPr>
                      <w:rFonts w:hint="eastAsia"/>
                    </w:rPr>
                    <w:t>各职能部门加强绩效考核的有效开展，通过考核促进员工的工作积极性，提高业务素质。</w:t>
                  </w:r>
                </w:p>
              </w:tc>
              <w:tc>
                <w:tcPr>
                  <w:tcW w:w="1755" w:type="dxa"/>
                </w:tcPr>
                <w:p>
                  <w:pPr>
                    <w:rPr>
                      <w:color w:val="auto"/>
                    </w:rPr>
                  </w:pP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无效</w:t>
                  </w:r>
                </w:p>
              </w:tc>
            </w:tr>
          </w:tbl>
          <w:p/>
          <w:p>
            <w:r>
              <w:rPr>
                <w:rFonts w:hint="eastAsia"/>
              </w:rPr>
              <w:t>组织职业健康安全管理体系范围内的潜在紧急情况，如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可能具有职业健康安全风险的潜在紧急情况，如</w:t>
            </w:r>
            <w:r>
              <w:rPr>
                <w:rFonts w:hint="eastAsia"/>
                <w:u w:val="single"/>
              </w:rPr>
              <w:t xml:space="preserve">  </w:t>
            </w:r>
            <w:r>
              <w:rPr>
                <w:rFonts w:hint="eastAsia"/>
                <w:u w:val="single"/>
              </w:rPr>
              <w:sym w:font="Wingdings" w:char="00FE"/>
            </w:r>
            <w:r>
              <w:rPr>
                <w:rFonts w:hint="eastAsia"/>
                <w:u w:val="single"/>
              </w:rPr>
              <w:t xml:space="preserve">火灾  </w:t>
            </w:r>
            <w:r>
              <w:rPr>
                <w:rFonts w:hint="eastAsia"/>
                <w:u w:val="single"/>
              </w:rPr>
              <w:sym w:font="Wingdings" w:char="00A8"/>
            </w:r>
            <w:r>
              <w:rPr>
                <w:rFonts w:hint="eastAsia"/>
                <w:u w:val="single"/>
              </w:rPr>
              <w:t xml:space="preserve">危化品泄露 </w:t>
            </w:r>
            <w:r>
              <w:rPr>
                <w:rFonts w:hint="eastAsia"/>
                <w:u w:val="single"/>
              </w:rPr>
              <w:sym w:font="Wingdings" w:char="00A8"/>
            </w:r>
            <w:r>
              <w:rPr>
                <w:rFonts w:hint="eastAsia"/>
                <w:u w:val="single"/>
              </w:rPr>
              <w:t xml:space="preserve">发生工伤  </w:t>
            </w:r>
            <w:r>
              <w:rPr>
                <w:rFonts w:hint="eastAsia"/>
                <w:u w:val="single"/>
              </w:rPr>
              <w:sym w:font="Wingdings" w:char="00A8"/>
            </w:r>
            <w:r>
              <w:rPr>
                <w:rFonts w:hint="eastAsia"/>
                <w:u w:val="single"/>
              </w:rPr>
              <w:t>锅炉爆炸</w:t>
            </w:r>
          </w:p>
          <w:p>
            <w:r>
              <w:rPr>
                <w:rFonts w:hint="eastAsia"/>
                <w:u w:val="single"/>
              </w:rPr>
              <w:sym w:font="Wingdings" w:char="00A8"/>
            </w:r>
            <w:r>
              <w:rPr>
                <w:rFonts w:hint="eastAsia"/>
                <w:u w:val="single"/>
              </w:rPr>
              <w:t xml:space="preserve"> 职业病产生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color w:val="000000"/>
                <w:szCs w:val="21"/>
              </w:rPr>
            </w:pPr>
            <w:r>
              <w:rPr>
                <w:rFonts w:hint="eastAsia"/>
                <w:color w:val="auto"/>
              </w:rPr>
              <w:t>措施的策划</w:t>
            </w:r>
          </w:p>
        </w:tc>
        <w:tc>
          <w:tcPr>
            <w:tcW w:w="960" w:type="dxa"/>
            <w:vMerge w:val="restart"/>
            <w:vAlign w:val="top"/>
          </w:tcPr>
          <w:p>
            <w:pPr>
              <w:rPr>
                <w:rFonts w:hint="eastAsia"/>
                <w:color w:val="000000"/>
                <w:szCs w:val="21"/>
              </w:rPr>
            </w:pPr>
            <w:r>
              <w:rPr>
                <w:rFonts w:hint="eastAsia"/>
                <w:color w:val="auto"/>
                <w:szCs w:val="21"/>
              </w:rPr>
              <w:t>O6.1.4</w:t>
            </w:r>
          </w:p>
        </w:tc>
        <w:tc>
          <w:tcPr>
            <w:tcW w:w="745" w:type="dxa"/>
            <w:vAlign w:val="top"/>
          </w:tcPr>
          <w:p>
            <w:pPr>
              <w:rPr>
                <w:rFonts w:hint="eastAsia"/>
              </w:rPr>
            </w:pPr>
            <w:r>
              <w:rPr>
                <w:rFonts w:hint="eastAsia"/>
                <w:color w:val="auto"/>
              </w:rPr>
              <w:t>文件名称</w:t>
            </w:r>
          </w:p>
        </w:tc>
        <w:tc>
          <w:tcPr>
            <w:tcW w:w="9259" w:type="dxa"/>
            <w:vAlign w:val="center"/>
          </w:tcPr>
          <w:p>
            <w:pPr>
              <w:rPr>
                <w:rFonts w:hint="eastAsia"/>
              </w:rPr>
            </w:pPr>
            <w:r>
              <w:rPr>
                <w:rFonts w:hint="eastAsia"/>
                <w:color w:val="auto"/>
              </w:rPr>
              <w:t>如：管理手册、《管理方案》</w:t>
            </w:r>
          </w:p>
        </w:tc>
        <w:tc>
          <w:tcPr>
            <w:tcW w:w="1585" w:type="dxa"/>
            <w:vMerge w:val="restar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pPr>
              <w:rPr>
                <w:rFonts w:hint="eastAsia"/>
                <w:color w:val="000000"/>
                <w:szCs w:val="21"/>
              </w:rPr>
            </w:pPr>
          </w:p>
        </w:tc>
        <w:tc>
          <w:tcPr>
            <w:tcW w:w="960" w:type="dxa"/>
            <w:vMerge w:val="continue"/>
            <w:vAlign w:val="top"/>
          </w:tcPr>
          <w:p>
            <w:pPr>
              <w:rPr>
                <w:rFonts w:hint="eastAsia"/>
                <w:color w:val="000000"/>
                <w:szCs w:val="21"/>
              </w:rPr>
            </w:pPr>
          </w:p>
        </w:tc>
        <w:tc>
          <w:tcPr>
            <w:tcW w:w="745" w:type="dxa"/>
            <w:vAlign w:val="top"/>
          </w:tcPr>
          <w:p>
            <w:pPr>
              <w:rPr>
                <w:rFonts w:hint="eastAsia"/>
              </w:rPr>
            </w:pPr>
            <w:r>
              <w:rPr>
                <w:rFonts w:hint="eastAsia"/>
                <w:color w:val="auto"/>
              </w:rPr>
              <w:t>运行证据</w:t>
            </w:r>
          </w:p>
        </w:tc>
        <w:tc>
          <w:tcPr>
            <w:tcW w:w="9259" w:type="dxa"/>
            <w:vAlign w:val="top"/>
          </w:tcPr>
          <w:p>
            <w:pPr>
              <w:ind w:firstLine="420"/>
              <w:rPr>
                <w:color w:val="auto"/>
              </w:rPr>
            </w:pPr>
            <w:r>
              <w:rPr>
                <w:rFonts w:hint="eastAsia"/>
                <w:color w:val="auto"/>
              </w:rPr>
              <w:t>在策划措施时，组织必须考虑控制的层级（见</w:t>
            </w:r>
            <w:r>
              <w:rPr>
                <w:color w:val="auto"/>
              </w:rPr>
              <w:t>8.1.2）</w:t>
            </w:r>
            <w:r>
              <w:rPr>
                <w:rFonts w:hint="eastAsia"/>
                <w:color w:val="auto"/>
              </w:rPr>
              <w:t>和职业健康安全管理体系的输出。</w:t>
            </w:r>
          </w:p>
          <w:p>
            <w:pPr>
              <w:rPr>
                <w:color w:val="auto"/>
              </w:rPr>
            </w:pPr>
            <w:r>
              <w:rPr>
                <w:rFonts w:hint="eastAsia"/>
                <w:color w:val="auto"/>
              </w:rPr>
              <w:t>在策划措施时，组织还应考虑最佳实践、可选技术方案以及财务、运行和经营等要求。</w:t>
            </w:r>
          </w:p>
          <w:tbl>
            <w:tblPr>
              <w:tblStyle w:val="7"/>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404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vAlign w:val="center"/>
                </w:tcPr>
                <w:p>
                  <w:pPr>
                    <w:jc w:val="center"/>
                    <w:rPr>
                      <w:rFonts w:ascii="宋体" w:hAnsi="宋体"/>
                      <w:color w:val="auto"/>
                      <w:szCs w:val="24"/>
                    </w:rPr>
                  </w:pPr>
                  <w:r>
                    <w:rPr>
                      <w:rFonts w:hint="eastAsia" w:ascii="宋体" w:hAnsi="宋体"/>
                      <w:color w:val="auto"/>
                      <w:szCs w:val="24"/>
                    </w:rPr>
                    <w:t>控制内容</w:t>
                  </w:r>
                </w:p>
              </w:tc>
              <w:tc>
                <w:tcPr>
                  <w:tcW w:w="4040" w:type="dxa"/>
                  <w:shd w:val="clear" w:color="auto" w:fill="auto"/>
                  <w:vAlign w:val="center"/>
                </w:tcPr>
                <w:p>
                  <w:pPr>
                    <w:jc w:val="center"/>
                    <w:rPr>
                      <w:rFonts w:ascii="宋体" w:hAnsi="宋体"/>
                      <w:color w:val="auto"/>
                      <w:szCs w:val="24"/>
                    </w:rPr>
                  </w:pPr>
                  <w:r>
                    <w:rPr>
                      <w:rFonts w:hint="eastAsia" w:ascii="宋体" w:hAnsi="宋体"/>
                      <w:color w:val="auto"/>
                      <w:szCs w:val="24"/>
                    </w:rPr>
                    <w:t>控制措施</w:t>
                  </w:r>
                </w:p>
              </w:tc>
              <w:tc>
                <w:tcPr>
                  <w:tcW w:w="1350" w:type="dxa"/>
                  <w:shd w:val="clear" w:color="auto" w:fill="auto"/>
                  <w:vAlign w:val="center"/>
                </w:tcPr>
                <w:p>
                  <w:pPr>
                    <w:jc w:val="center"/>
                    <w:rPr>
                      <w:rFonts w:ascii="宋体" w:hAnsi="宋体"/>
                      <w:color w:val="auto"/>
                      <w:szCs w:val="24"/>
                    </w:rPr>
                  </w:pPr>
                  <w:r>
                    <w:rPr>
                      <w:rFonts w:hint="eastAsia" w:ascii="宋体" w:hAnsi="宋体"/>
                      <w:color w:val="auto"/>
                      <w:szCs w:val="24"/>
                    </w:rPr>
                    <w:t>责任部门</w:t>
                  </w:r>
                </w:p>
              </w:tc>
              <w:tc>
                <w:tcPr>
                  <w:tcW w:w="1774" w:type="dxa"/>
                  <w:shd w:val="clear" w:color="auto" w:fill="auto"/>
                  <w:vAlign w:val="center"/>
                </w:tcPr>
                <w:p>
                  <w:pPr>
                    <w:jc w:val="center"/>
                    <w:rPr>
                      <w:rFonts w:ascii="宋体" w:hAnsi="宋体"/>
                      <w:color w:val="auto"/>
                      <w:szCs w:val="24"/>
                    </w:rPr>
                  </w:pPr>
                  <w:r>
                    <w:rPr>
                      <w:rFonts w:hint="eastAsia"/>
                      <w:color w:val="auto"/>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color w:val="auto"/>
                    </w:rPr>
                  </w:pPr>
                  <w:r>
                    <w:rPr>
                      <w:rFonts w:hint="eastAsia"/>
                      <w:color w:val="auto"/>
                    </w:rPr>
                    <w:t>危险源辨识</w:t>
                  </w:r>
                </w:p>
              </w:tc>
              <w:tc>
                <w:tcPr>
                  <w:tcW w:w="4040" w:type="dxa"/>
                  <w:shd w:val="clear" w:color="auto" w:fill="auto"/>
                  <w:vAlign w:val="center"/>
                </w:tcPr>
                <w:p>
                  <w:pPr>
                    <w:rPr>
                      <w:color w:val="auto"/>
                    </w:rPr>
                  </w:pPr>
                  <w:r>
                    <w:rPr>
                      <w:rFonts w:hint="eastAsia"/>
                      <w:color w:val="auto"/>
                    </w:rPr>
                    <w:t>《</w:t>
                  </w:r>
                  <w:r>
                    <w:rPr>
                      <w:rFonts w:hint="eastAsia" w:ascii="宋体" w:hAnsi="宋体" w:cs="Times New Roman"/>
                      <w:color w:val="000000"/>
                      <w:szCs w:val="21"/>
                      <w:lang w:bidi="ar-SA"/>
                    </w:rPr>
                    <w:t>危险源识别、风险评价控制程序</w:t>
                  </w:r>
                  <w:r>
                    <w:rPr>
                      <w:rFonts w:hint="eastAsia"/>
                      <w:color w:val="auto"/>
                    </w:rPr>
                    <w:t>》</w:t>
                  </w:r>
                </w:p>
              </w:tc>
              <w:tc>
                <w:tcPr>
                  <w:tcW w:w="1350" w:type="dxa"/>
                  <w:shd w:val="clear" w:color="auto" w:fill="auto"/>
                  <w:vAlign w:val="center"/>
                </w:tcPr>
                <w:p>
                  <w:pPr>
                    <w:rPr>
                      <w:rFonts w:ascii="宋体" w:hAnsi="宋体"/>
                      <w:color w:val="auto"/>
                      <w:szCs w:val="24"/>
                    </w:rPr>
                  </w:pPr>
                  <w:r>
                    <w:rPr>
                      <w:rFonts w:hint="eastAsia" w:ascii="宋体" w:hAnsi="宋体"/>
                      <w:color w:val="auto"/>
                      <w:szCs w:val="24"/>
                    </w:rPr>
                    <w:t>综合办公室</w:t>
                  </w:r>
                </w:p>
              </w:tc>
              <w:tc>
                <w:tcPr>
                  <w:tcW w:w="1774" w:type="dxa"/>
                  <w:shd w:val="clear" w:color="auto" w:fill="auto"/>
                  <w:vAlign w:val="center"/>
                </w:tcPr>
                <w:p>
                  <w:pPr>
                    <w:jc w:val="center"/>
                    <w:rPr>
                      <w:rFonts w:ascii="宋体" w:hAnsi="宋体"/>
                      <w:color w:val="auto"/>
                    </w:rPr>
                  </w:pPr>
                  <w:r>
                    <w:rPr>
                      <w:rFonts w:hint="eastAsia" w:ascii="宋体" w:hAnsi="宋体"/>
                      <w:color w:val="auto"/>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rFonts w:hint="eastAsia"/>
                      <w:color w:val="auto"/>
                    </w:rPr>
                  </w:pPr>
                  <w:r>
                    <w:rPr>
                      <w:rFonts w:hint="eastAsia"/>
                      <w:color w:val="auto"/>
                    </w:rPr>
                    <w:t>满足法律法规要求和其他要求</w:t>
                  </w:r>
                </w:p>
              </w:tc>
              <w:tc>
                <w:tcPr>
                  <w:tcW w:w="4040" w:type="dxa"/>
                  <w:shd w:val="clear" w:color="auto" w:fill="auto"/>
                  <w:vAlign w:val="center"/>
                </w:tcPr>
                <w:p>
                  <w:pPr>
                    <w:rPr>
                      <w:rFonts w:hint="eastAsia"/>
                      <w:color w:val="auto"/>
                    </w:rPr>
                  </w:pPr>
                  <w:r>
                    <w:rPr>
                      <w:rFonts w:hint="eastAsia"/>
                      <w:color w:val="auto"/>
                    </w:rPr>
                    <w:t>《</w:t>
                  </w:r>
                  <w:r>
                    <w:rPr>
                      <w:rFonts w:hint="eastAsia" w:ascii="宋体" w:hAnsi="宋体" w:cs="Times New Roman"/>
                      <w:color w:val="000000"/>
                      <w:szCs w:val="21"/>
                      <w:lang w:bidi="ar-SA"/>
                    </w:rPr>
                    <w:t>法律、法规和其他要求控制程序</w:t>
                  </w:r>
                  <w:r>
                    <w:rPr>
                      <w:rFonts w:hint="eastAsia"/>
                      <w:color w:val="auto"/>
                    </w:rPr>
                    <w:t>》</w:t>
                  </w:r>
                </w:p>
              </w:tc>
              <w:tc>
                <w:tcPr>
                  <w:tcW w:w="1350" w:type="dxa"/>
                  <w:shd w:val="clear" w:color="auto" w:fill="auto"/>
                  <w:vAlign w:val="center"/>
                </w:tcPr>
                <w:p>
                  <w:pPr>
                    <w:rPr>
                      <w:rFonts w:hint="eastAsia" w:ascii="宋体" w:hAnsi="宋体"/>
                      <w:color w:val="auto"/>
                      <w:szCs w:val="24"/>
                    </w:rPr>
                  </w:pPr>
                  <w:r>
                    <w:rPr>
                      <w:rFonts w:hint="eastAsia" w:ascii="宋体" w:hAnsi="宋体"/>
                      <w:color w:val="auto"/>
                      <w:szCs w:val="24"/>
                    </w:rPr>
                    <w:t>综合办公室</w:t>
                  </w:r>
                </w:p>
              </w:tc>
              <w:tc>
                <w:tcPr>
                  <w:tcW w:w="1774" w:type="dxa"/>
                  <w:shd w:val="clear" w:color="auto" w:fill="auto"/>
                  <w:vAlign w:val="center"/>
                </w:tcPr>
                <w:p>
                  <w:pPr>
                    <w:jc w:val="center"/>
                    <w:rPr>
                      <w:rFonts w:hint="eastAsia" w:ascii="宋体" w:hAnsi="宋体"/>
                      <w:color w:val="auto"/>
                    </w:rPr>
                  </w:pPr>
                  <w:r>
                    <w:rPr>
                      <w:rFonts w:hint="eastAsia" w:ascii="宋体" w:hAnsi="宋体"/>
                      <w:color w:val="auto"/>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color w:val="auto"/>
                    </w:rPr>
                  </w:pPr>
                  <w:r>
                    <w:rPr>
                      <w:rFonts w:hint="eastAsia"/>
                      <w:color w:val="auto"/>
                    </w:rPr>
                    <w:t>对紧急情况做出准备和响应</w:t>
                  </w:r>
                </w:p>
              </w:tc>
              <w:tc>
                <w:tcPr>
                  <w:tcW w:w="4040" w:type="dxa"/>
                  <w:shd w:val="clear" w:color="auto" w:fill="auto"/>
                  <w:vAlign w:val="center"/>
                </w:tcPr>
                <w:p>
                  <w:pPr>
                    <w:rPr>
                      <w:rFonts w:ascii="宋体" w:hAnsi="宋体"/>
                      <w:color w:val="auto"/>
                      <w:szCs w:val="24"/>
                    </w:rPr>
                  </w:pPr>
                  <w:r>
                    <w:rPr>
                      <w:rFonts w:hint="eastAsia" w:ascii="宋体" w:hAnsi="宋体"/>
                      <w:color w:val="auto"/>
                      <w:szCs w:val="24"/>
                    </w:rPr>
                    <w:t>《</w:t>
                  </w:r>
                  <w:r>
                    <w:rPr>
                      <w:rFonts w:hint="eastAsia" w:ascii="宋体" w:hAnsi="宋体" w:cs="Times New Roman"/>
                      <w:color w:val="000000"/>
                      <w:szCs w:val="21"/>
                      <w:lang w:bidi="ar-SA"/>
                    </w:rPr>
                    <w:t>应急准备和响应控制程序</w:t>
                  </w:r>
                  <w:r>
                    <w:rPr>
                      <w:rFonts w:hint="eastAsia" w:ascii="宋体" w:hAnsi="宋体"/>
                      <w:color w:val="auto"/>
                      <w:szCs w:val="24"/>
                    </w:rPr>
                    <w:t>》</w:t>
                  </w:r>
                </w:p>
              </w:tc>
              <w:tc>
                <w:tcPr>
                  <w:tcW w:w="1350" w:type="dxa"/>
                  <w:shd w:val="clear" w:color="auto" w:fill="auto"/>
                  <w:vAlign w:val="center"/>
                </w:tcPr>
                <w:p>
                  <w:pPr>
                    <w:rPr>
                      <w:rFonts w:ascii="宋体" w:hAnsi="宋体"/>
                      <w:color w:val="auto"/>
                      <w:szCs w:val="24"/>
                    </w:rPr>
                  </w:pPr>
                  <w:r>
                    <w:rPr>
                      <w:rFonts w:hint="eastAsia" w:ascii="宋体" w:hAnsi="宋体"/>
                      <w:color w:val="auto"/>
                      <w:szCs w:val="24"/>
                    </w:rPr>
                    <w:t>综合办公室</w:t>
                  </w:r>
                </w:p>
              </w:tc>
              <w:tc>
                <w:tcPr>
                  <w:tcW w:w="1774" w:type="dxa"/>
                  <w:shd w:val="clear" w:color="auto" w:fill="auto"/>
                  <w:vAlign w:val="center"/>
                </w:tcPr>
                <w:p>
                  <w:pPr>
                    <w:jc w:val="center"/>
                    <w:rPr>
                      <w:rFonts w:ascii="宋体" w:hAnsi="宋体"/>
                      <w:color w:val="auto"/>
                    </w:rPr>
                  </w:pPr>
                  <w:r>
                    <w:rPr>
                      <w:rFonts w:hint="eastAsia" w:ascii="宋体" w:hAnsi="宋体"/>
                      <w:color w:val="auto"/>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color w:val="auto"/>
                    </w:rPr>
                  </w:pPr>
                </w:p>
              </w:tc>
              <w:tc>
                <w:tcPr>
                  <w:tcW w:w="4040" w:type="dxa"/>
                  <w:shd w:val="clear" w:color="auto" w:fill="auto"/>
                  <w:vAlign w:val="center"/>
                </w:tcPr>
                <w:p>
                  <w:pPr>
                    <w:rPr>
                      <w:rFonts w:ascii="宋体" w:hAnsi="宋体"/>
                      <w:color w:val="auto"/>
                      <w:szCs w:val="24"/>
                    </w:rPr>
                  </w:pPr>
                </w:p>
              </w:tc>
              <w:tc>
                <w:tcPr>
                  <w:tcW w:w="1350" w:type="dxa"/>
                  <w:shd w:val="clear" w:color="auto" w:fill="auto"/>
                  <w:vAlign w:val="center"/>
                </w:tcPr>
                <w:p>
                  <w:pPr>
                    <w:rPr>
                      <w:rFonts w:ascii="宋体" w:hAnsi="宋体"/>
                      <w:color w:val="auto"/>
                      <w:szCs w:val="24"/>
                    </w:rPr>
                  </w:pPr>
                </w:p>
              </w:tc>
              <w:tc>
                <w:tcPr>
                  <w:tcW w:w="1774" w:type="dxa"/>
                  <w:shd w:val="clear" w:color="auto" w:fill="auto"/>
                  <w:vAlign w:val="center"/>
                </w:tcPr>
                <w:p>
                  <w:pPr>
                    <w:jc w:val="center"/>
                    <w:rPr>
                      <w:rFonts w:ascii="宋体" w:hAnsi="宋体"/>
                      <w:color w:val="auto"/>
                    </w:rPr>
                  </w:pPr>
                </w:p>
              </w:tc>
            </w:tr>
          </w:tbl>
          <w:p>
            <w:pPr>
              <w:rPr>
                <w:rFonts w:hint="eastAsia"/>
              </w:rPr>
            </w:pPr>
          </w:p>
        </w:tc>
        <w:tc>
          <w:tcPr>
            <w:tcW w:w="1585"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职业健康安全目标</w:t>
            </w:r>
          </w:p>
        </w:tc>
        <w:tc>
          <w:tcPr>
            <w:tcW w:w="960" w:type="dxa"/>
            <w:vMerge w:val="restart"/>
          </w:tcPr>
          <w:p>
            <w:r>
              <w:rPr>
                <w:rFonts w:hint="eastAsia"/>
                <w:color w:val="000000"/>
                <w:szCs w:val="21"/>
              </w:rPr>
              <w:t>O6.2</w:t>
            </w:r>
          </w:p>
        </w:tc>
        <w:tc>
          <w:tcPr>
            <w:tcW w:w="745" w:type="dxa"/>
          </w:tcPr>
          <w:p>
            <w:r>
              <w:rPr>
                <w:rFonts w:hint="eastAsia"/>
              </w:rPr>
              <w:t>文件名称</w:t>
            </w:r>
          </w:p>
        </w:tc>
        <w:tc>
          <w:tcPr>
            <w:tcW w:w="9259" w:type="dxa"/>
            <w:vAlign w:val="center"/>
          </w:tcPr>
          <w:p>
            <w:r>
              <w:rPr>
                <w:rFonts w:hint="eastAsia"/>
              </w:rPr>
              <w:t>如：</w:t>
            </w:r>
            <w:r>
              <w:rPr>
                <w:rFonts w:hint="eastAsia"/>
                <w:lang w:eastAsia="zh-CN"/>
              </w:rPr>
              <w:t>管理</w:t>
            </w:r>
            <w:r>
              <w:rPr>
                <w:rFonts w:hint="eastAsia"/>
              </w:rPr>
              <w:t>手册第6.2条款</w:t>
            </w:r>
            <w:r>
              <w:rPr>
                <w:rFonts w:hint="eastAsia"/>
                <w:color w:val="auto"/>
              </w:rPr>
              <w:t>、《</w:t>
            </w:r>
            <w:r>
              <w:rPr>
                <w:rFonts w:hint="eastAsia"/>
                <w:color w:val="auto"/>
                <w:szCs w:val="21"/>
              </w:rPr>
              <w:t>职业健康安全目标</w:t>
            </w:r>
            <w:r>
              <w:rPr>
                <w:rFonts w:hint="eastAsia"/>
                <w:color w:val="auto"/>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w:t>
            </w:r>
            <w:r>
              <w:rPr>
                <w:rFonts w:hint="eastAsia"/>
                <w:color w:val="000000"/>
                <w:szCs w:val="21"/>
              </w:rPr>
              <w:t>职业健康安全</w:t>
            </w:r>
            <w:r>
              <w:rPr>
                <w:rFonts w:hint="eastAsia"/>
              </w:rPr>
              <w:t>目标而建立的各层级</w:t>
            </w:r>
            <w:r>
              <w:rPr>
                <w:rFonts w:hint="eastAsia"/>
                <w:color w:val="000000"/>
                <w:szCs w:val="21"/>
              </w:rPr>
              <w:t>职业健康安全</w:t>
            </w:r>
            <w:r>
              <w:rPr>
                <w:rFonts w:hint="eastAsia"/>
              </w:rPr>
              <w:t>目标具体、有针对性、可测量并且可实现。</w:t>
            </w:r>
          </w:p>
          <w:p>
            <w:r>
              <w:rPr>
                <w:rFonts w:hint="eastAsia"/>
              </w:rPr>
              <w:t>总</w:t>
            </w:r>
            <w:r>
              <w:rPr>
                <w:rFonts w:hint="eastAsia"/>
                <w:color w:val="000000"/>
                <w:szCs w:val="21"/>
              </w:rPr>
              <w:t>职业健康安全</w:t>
            </w:r>
            <w:r>
              <w:rPr>
                <w:rFonts w:hint="eastAsia"/>
              </w:rPr>
              <w:t>目标实现情况的评价，及其测量方法是：</w:t>
            </w:r>
          </w:p>
          <w:tbl>
            <w:tblPr>
              <w:tblStyle w:val="8"/>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3516"/>
              <w:gridCol w:w="1370"/>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3516" w:type="dxa"/>
                </w:tcPr>
                <w:p>
                  <w:pPr>
                    <w:widowControl/>
                    <w:spacing w:before="40"/>
                    <w:jc w:val="left"/>
                    <w:rPr>
                      <w:color w:val="000000"/>
                      <w:szCs w:val="18"/>
                    </w:rPr>
                  </w:pPr>
                  <w:r>
                    <w:rPr>
                      <w:rFonts w:hint="eastAsia"/>
                      <w:color w:val="000000"/>
                      <w:szCs w:val="18"/>
                    </w:rPr>
                    <w:t>计算方法</w:t>
                  </w:r>
                </w:p>
              </w:tc>
              <w:tc>
                <w:tcPr>
                  <w:tcW w:w="1370" w:type="dxa"/>
                </w:tcPr>
                <w:p>
                  <w:pPr>
                    <w:widowControl/>
                    <w:spacing w:before="40"/>
                    <w:jc w:val="left"/>
                    <w:rPr>
                      <w:color w:val="000000"/>
                      <w:szCs w:val="18"/>
                    </w:rPr>
                  </w:pPr>
                  <w:r>
                    <w:rPr>
                      <w:rFonts w:hint="eastAsia"/>
                      <w:color w:val="000000"/>
                      <w:szCs w:val="18"/>
                    </w:rPr>
                    <w:t>考核频次</w:t>
                  </w:r>
                </w:p>
              </w:tc>
              <w:tc>
                <w:tcPr>
                  <w:tcW w:w="2444" w:type="dxa"/>
                </w:tcPr>
                <w:p>
                  <w:pPr>
                    <w:widowControl/>
                    <w:spacing w:before="40"/>
                    <w:jc w:val="left"/>
                    <w:rPr>
                      <w:rFonts w:hint="eastAsia" w:eastAsia="宋体"/>
                      <w:color w:val="000000"/>
                      <w:szCs w:val="18"/>
                      <w:lang w:eastAsia="zh-CN"/>
                    </w:rPr>
                  </w:pPr>
                  <w:r>
                    <w:rPr>
                      <w:rFonts w:hint="eastAsia"/>
                      <w:color w:val="000000"/>
                      <w:szCs w:val="18"/>
                    </w:rPr>
                    <w:t>完成情况</w:t>
                  </w:r>
                  <w:r>
                    <w:rPr>
                      <w:rFonts w:hint="eastAsia"/>
                      <w:color w:val="000000"/>
                      <w:szCs w:val="18"/>
                      <w:lang w:eastAsia="zh-CN"/>
                    </w:rPr>
                    <w:t>（</w:t>
                  </w:r>
                  <w:r>
                    <w:rPr>
                      <w:rFonts w:hint="eastAsia"/>
                      <w:color w:val="000000"/>
                      <w:szCs w:val="18"/>
                      <w:lang w:val="en-US" w:eastAsia="zh-CN"/>
                    </w:rPr>
                    <w:t>审核周期</w:t>
                  </w:r>
                  <w:r>
                    <w:rPr>
                      <w:rFonts w:hint="eastAsia"/>
                      <w:color w:val="00000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jc w:val="left"/>
                    <w:rPr>
                      <w:color w:val="000000"/>
                      <w:szCs w:val="18"/>
                      <w:highlight w:val="cyan"/>
                    </w:rPr>
                  </w:pPr>
                  <w:r>
                    <w:rPr>
                      <w:rFonts w:hint="eastAsia" w:ascii="宋体" w:hAnsi="宋体" w:cs="宋体"/>
                      <w:color w:val="000000"/>
                      <w:sz w:val="22"/>
                      <w:szCs w:val="22"/>
                    </w:rPr>
                    <w:t>火灾事故</w:t>
                  </w:r>
                </w:p>
              </w:tc>
              <w:tc>
                <w:tcPr>
                  <w:tcW w:w="3516" w:type="dxa"/>
                  <w:vAlign w:val="center"/>
                </w:tcPr>
                <w:p>
                  <w:pPr>
                    <w:jc w:val="left"/>
                    <w:rPr>
                      <w:color w:val="000000"/>
                      <w:szCs w:val="18"/>
                      <w:highlight w:val="cyan"/>
                    </w:rPr>
                  </w:pPr>
                  <w:r>
                    <w:rPr>
                      <w:rFonts w:hint="eastAsia" w:ascii="宋体" w:hAnsi="宋体" w:cs="宋体"/>
                      <w:color w:val="000000"/>
                      <w:sz w:val="22"/>
                      <w:szCs w:val="22"/>
                    </w:rPr>
                    <w:t>统计火灾发生次数</w:t>
                  </w:r>
                </w:p>
              </w:tc>
              <w:tc>
                <w:tcPr>
                  <w:tcW w:w="1370" w:type="dxa"/>
                </w:tcPr>
                <w:p>
                  <w:pPr>
                    <w:widowControl/>
                    <w:spacing w:before="40"/>
                    <w:jc w:val="left"/>
                    <w:rPr>
                      <w:color w:val="000000"/>
                      <w:szCs w:val="18"/>
                      <w:highlight w:val="cyan"/>
                    </w:rPr>
                  </w:pPr>
                  <w:r>
                    <w:rPr>
                      <w:rFonts w:hint="eastAsia" w:ascii="宋体" w:hAnsi="宋体"/>
                      <w:sz w:val="18"/>
                      <w:szCs w:val="18"/>
                    </w:rPr>
                    <w:t>1次/每季度</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rPr>
                    <w:t>人身伤害</w:t>
                  </w:r>
                </w:p>
              </w:tc>
              <w:tc>
                <w:tcPr>
                  <w:tcW w:w="3516" w:type="dxa"/>
                </w:tcPr>
                <w:p>
                  <w:pPr>
                    <w:widowControl/>
                    <w:spacing w:before="40"/>
                    <w:jc w:val="left"/>
                    <w:rPr>
                      <w:color w:val="000000"/>
                      <w:szCs w:val="18"/>
                      <w:highlight w:val="cyan"/>
                    </w:rPr>
                  </w:pPr>
                  <w:r>
                    <w:rPr>
                      <w:rFonts w:hint="eastAsia" w:ascii="宋体" w:hAnsi="宋体" w:cs="宋体"/>
                      <w:color w:val="000000"/>
                      <w:sz w:val="22"/>
                      <w:szCs w:val="22"/>
                    </w:rPr>
                    <w:t>统计人身伤害人数</w:t>
                  </w:r>
                </w:p>
              </w:tc>
              <w:tc>
                <w:tcPr>
                  <w:tcW w:w="1370" w:type="dxa"/>
                </w:tcPr>
                <w:p>
                  <w:pPr>
                    <w:widowControl/>
                    <w:spacing w:before="40"/>
                    <w:jc w:val="left"/>
                    <w:rPr>
                      <w:color w:val="000000"/>
                      <w:szCs w:val="18"/>
                      <w:highlight w:val="cyan"/>
                    </w:rPr>
                  </w:pPr>
                  <w:r>
                    <w:rPr>
                      <w:rFonts w:hint="eastAsia" w:ascii="宋体" w:hAnsi="宋体"/>
                      <w:sz w:val="18"/>
                      <w:szCs w:val="18"/>
                    </w:rPr>
                    <w:t>1次/每季度</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O7.1</w:t>
            </w:r>
          </w:p>
        </w:tc>
        <w:tc>
          <w:tcPr>
            <w:tcW w:w="745" w:type="dxa"/>
          </w:tcPr>
          <w:p>
            <w:r>
              <w:rPr>
                <w:rFonts w:hint="eastAsia"/>
              </w:rPr>
              <w:t>文件名称</w:t>
            </w:r>
          </w:p>
        </w:tc>
        <w:tc>
          <w:tcPr>
            <w:tcW w:w="9259" w:type="dxa"/>
            <w:vAlign w:val="center"/>
          </w:tcPr>
          <w:p>
            <w:r>
              <w:rPr>
                <w:rFonts w:hint="eastAsia"/>
              </w:rPr>
              <w:t>如：手册第7.1条款、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和最高管理层确定并提供所需的资源，以建立、实施、保持和持续改进质量管理体系。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2076   </w:t>
            </w:r>
            <w:r>
              <w:rPr>
                <w:rFonts w:hint="eastAsia"/>
                <w:vertAlign w:val="baseline"/>
                <w:lang w:val="en-US" w:eastAsia="zh-CN"/>
              </w:rPr>
              <w:t>平方米；办公室</w:t>
            </w:r>
            <w:r>
              <w:rPr>
                <w:rFonts w:hint="eastAsia"/>
                <w:u w:val="single"/>
                <w:vertAlign w:val="baseline"/>
                <w:lang w:val="en-US" w:eastAsia="zh-CN"/>
              </w:rPr>
              <w:t xml:space="preserve"> 1 </w:t>
            </w:r>
            <w:r>
              <w:rPr>
                <w:rFonts w:hint="eastAsia"/>
                <w:vertAlign w:val="baseline"/>
                <w:lang w:val="en-US" w:eastAsia="zh-CN"/>
              </w:rPr>
              <w:t>个；库房</w:t>
            </w:r>
            <w:r>
              <w:rPr>
                <w:rFonts w:hint="eastAsia"/>
                <w:u w:val="single"/>
                <w:vertAlign w:val="baseline"/>
                <w:lang w:val="en-US" w:eastAsia="zh-CN"/>
              </w:rPr>
              <w:t xml:space="preserve"> / </w:t>
            </w:r>
            <w:r>
              <w:rPr>
                <w:rFonts w:hint="eastAsia"/>
                <w:vertAlign w:val="baseline"/>
                <w:lang w:val="en-US" w:eastAsia="zh-CN"/>
              </w:rPr>
              <w:t>个；实验室</w:t>
            </w:r>
            <w:r>
              <w:rPr>
                <w:rFonts w:hint="eastAsia"/>
                <w:u w:val="single"/>
                <w:vertAlign w:val="baseline"/>
                <w:lang w:val="en-US" w:eastAsia="zh-CN"/>
              </w:rPr>
              <w:t xml:space="preserve"> / </w:t>
            </w:r>
            <w:r>
              <w:rPr>
                <w:rFonts w:hint="eastAsia"/>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办公室、电脑、打印机      （列举2~4种）</w:t>
            </w:r>
          </w:p>
          <w:p>
            <w:pPr>
              <w:widowControl/>
              <w:spacing w:before="40"/>
              <w:jc w:val="left"/>
              <w:rPr>
                <w:color w:val="000000"/>
              </w:rPr>
            </w:pPr>
            <w:r>
              <w:rPr>
                <w:rFonts w:hint="eastAsia"/>
                <w:color w:val="auto"/>
              </w:rPr>
              <w:t>动力设施和辅助</w:t>
            </w:r>
            <w:r>
              <w:rPr>
                <w:rFonts w:hint="eastAsia"/>
                <w:color w:val="000000"/>
              </w:rPr>
              <w:t>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rFonts w:hint="eastAsia"/>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FE"/>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rFonts w:hint="eastAsia"/>
                <w:color w:val="000000"/>
                <w:lang w:val="en-US" w:eastAsia="zh-CN"/>
              </w:rPr>
              <w:t xml:space="preserve">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Pr>
              <w:pStyle w:val="2"/>
              <w:rPr>
                <w:rFonts w:hint="eastAsia"/>
              </w:rPr>
            </w:pPr>
          </w:p>
          <w:p>
            <w:pPr>
              <w:rPr>
                <w:rFonts w:hint="eastAsia"/>
                <w:color w:val="auto"/>
                <w:lang w:val="en-US" w:eastAsia="zh-CN"/>
              </w:rPr>
            </w:pPr>
            <w:r>
              <w:rPr>
                <w:rFonts w:hint="eastAsia"/>
                <w:color w:val="auto"/>
                <w:szCs w:val="21"/>
                <w:lang w:val="en-US" w:eastAsia="zh-CN"/>
              </w:rPr>
              <w:t>查看</w:t>
            </w:r>
            <w:r>
              <w:rPr>
                <w:rFonts w:hint="eastAsia"/>
                <w:color w:val="auto"/>
                <w:lang w:val="en-US" w:eastAsia="zh-CN"/>
              </w:rPr>
              <w:t xml:space="preserve">对职业健康安全有关的费用包括： </w:t>
            </w:r>
          </w:p>
          <w:p>
            <w:pPr>
              <w:rPr>
                <w:rFonts w:hint="eastAsia"/>
                <w:color w:val="auto"/>
                <w:lang w:val="en-US" w:eastAsia="zh-CN"/>
              </w:rPr>
            </w:pPr>
            <w:r>
              <w:rPr>
                <w:rFonts w:hint="eastAsia"/>
                <w:color w:val="auto"/>
                <w:lang w:val="en-US" w:eastAsia="zh-CN"/>
              </w:rPr>
              <w:t>三同时：</w:t>
            </w:r>
            <w:r>
              <w:rPr>
                <w:rFonts w:hint="eastAsia"/>
                <w:color w:val="auto"/>
                <w:lang w:val="en-US" w:eastAsia="zh-CN"/>
              </w:rPr>
              <w:sym w:font="Wingdings" w:char="00A8"/>
            </w:r>
            <w:r>
              <w:rPr>
                <w:rFonts w:hint="eastAsia"/>
                <w:color w:val="auto"/>
                <w:lang w:val="en-US" w:eastAsia="zh-CN"/>
              </w:rPr>
              <w:t xml:space="preserve">安全评价费用 </w:t>
            </w:r>
            <w:r>
              <w:rPr>
                <w:rFonts w:hint="eastAsia"/>
                <w:color w:val="auto"/>
                <w:lang w:val="en-US" w:eastAsia="zh-CN"/>
              </w:rPr>
              <w:sym w:font="Wingdings" w:char="00A8"/>
            </w:r>
            <w:r>
              <w:rPr>
                <w:rFonts w:hint="eastAsia"/>
                <w:color w:val="auto"/>
                <w:lang w:val="en-US" w:eastAsia="zh-CN"/>
              </w:rPr>
              <w:t>职业病危害评价费用</w:t>
            </w:r>
          </w:p>
          <w:p>
            <w:pPr>
              <w:rPr>
                <w:rFonts w:hint="eastAsia"/>
                <w:color w:val="auto"/>
                <w:lang w:val="en-US" w:eastAsia="zh-CN"/>
              </w:rPr>
            </w:pPr>
            <w:r>
              <w:rPr>
                <w:rFonts w:hint="eastAsia"/>
                <w:color w:val="auto"/>
                <w:lang w:val="en-US" w:eastAsia="zh-CN"/>
              </w:rPr>
              <w:t xml:space="preserve">其他：  </w:t>
            </w:r>
            <w:r>
              <w:rPr>
                <w:rFonts w:hint="eastAsia"/>
                <w:color w:val="auto"/>
                <w:lang w:val="en-US" w:eastAsia="zh-CN"/>
              </w:rPr>
              <w:sym w:font="Wingdings" w:char="00FE"/>
            </w:r>
            <w:r>
              <w:rPr>
                <w:rFonts w:hint="eastAsia"/>
                <w:color w:val="auto"/>
                <w:lang w:val="en-US" w:eastAsia="zh-CN"/>
              </w:rPr>
              <w:t xml:space="preserve">体检费 </w:t>
            </w:r>
            <w:r>
              <w:rPr>
                <w:rFonts w:hint="eastAsia"/>
                <w:color w:val="auto"/>
                <w:lang w:val="en-US" w:eastAsia="zh-CN"/>
              </w:rPr>
              <w:sym w:font="Wingdings" w:char="00FE"/>
            </w:r>
            <w:r>
              <w:rPr>
                <w:rFonts w:hint="eastAsia"/>
                <w:color w:val="auto"/>
                <w:lang w:val="en-US" w:eastAsia="zh-CN"/>
              </w:rPr>
              <w:t>安全监测费用</w:t>
            </w:r>
            <w:r>
              <w:rPr>
                <w:rFonts w:hint="eastAsia"/>
                <w:color w:val="auto"/>
                <w:lang w:val="en-US" w:eastAsia="zh-CN"/>
              </w:rPr>
              <w:sym w:font="Wingdings" w:char="00A8"/>
            </w:r>
            <w:r>
              <w:rPr>
                <w:rFonts w:hint="eastAsia"/>
                <w:color w:val="auto"/>
                <w:lang w:val="en-US" w:eastAsia="zh-CN"/>
              </w:rPr>
              <w:t xml:space="preserve">特种设备检测费用  </w:t>
            </w:r>
            <w:r>
              <w:rPr>
                <w:rFonts w:hint="eastAsia"/>
                <w:color w:val="auto"/>
                <w:lang w:val="en-US" w:eastAsia="zh-CN"/>
              </w:rPr>
              <w:sym w:font="Wingdings" w:char="00FE"/>
            </w:r>
            <w:r>
              <w:rPr>
                <w:rFonts w:hint="eastAsia"/>
                <w:color w:val="auto"/>
                <w:lang w:val="en-US" w:eastAsia="zh-CN"/>
              </w:rPr>
              <w:t xml:space="preserve">人员资质培训和考试费 </w:t>
            </w:r>
          </w:p>
          <w:p>
            <w:pPr>
              <w:ind w:firstLine="840" w:firstLineChars="400"/>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消防检测费用 </w:t>
            </w:r>
            <w:r>
              <w:rPr>
                <w:rFonts w:hint="eastAsia"/>
                <w:color w:val="auto"/>
                <w:lang w:val="en-US" w:eastAsia="zh-CN"/>
              </w:rPr>
              <w:sym w:font="Wingdings" w:char="00FE"/>
            </w:r>
            <w:r>
              <w:rPr>
                <w:rFonts w:hint="eastAsia"/>
                <w:color w:val="auto"/>
                <w:lang w:val="en-US" w:eastAsia="zh-CN"/>
              </w:rPr>
              <w:t xml:space="preserve">消防维保费用 </w:t>
            </w:r>
            <w:r>
              <w:rPr>
                <w:rFonts w:hint="eastAsia"/>
                <w:color w:val="auto"/>
                <w:lang w:val="en-US" w:eastAsia="zh-CN"/>
              </w:rPr>
              <w:sym w:font="Wingdings" w:char="00A8"/>
            </w:r>
            <w:r>
              <w:rPr>
                <w:rFonts w:hint="eastAsia"/>
                <w:color w:val="auto"/>
                <w:lang w:val="en-US" w:eastAsia="zh-CN"/>
              </w:rPr>
              <w:t xml:space="preserve">监视和测量设备检定费用  </w:t>
            </w:r>
          </w:p>
          <w:p>
            <w:pPr>
              <w:ind w:firstLine="840" w:firstLineChars="400"/>
              <w:rPr>
                <w:rFonts w:hint="default"/>
                <w:color w:val="auto"/>
                <w:lang w:val="en-US" w:eastAsia="zh-CN"/>
              </w:rPr>
            </w:pPr>
            <w:r>
              <w:rPr>
                <w:rFonts w:hint="eastAsia"/>
                <w:color w:val="auto"/>
                <w:lang w:val="en-US" w:eastAsia="zh-CN"/>
              </w:rPr>
              <w:sym w:font="Wingdings" w:char="00A8"/>
            </w:r>
            <w:r>
              <w:rPr>
                <w:rFonts w:hint="eastAsia"/>
                <w:color w:val="auto"/>
                <w:lang w:val="en-US" w:eastAsia="zh-CN"/>
              </w:rPr>
              <w:t xml:space="preserve">消防设施运行费用 </w:t>
            </w:r>
            <w:r>
              <w:rPr>
                <w:rFonts w:hint="eastAsia"/>
                <w:color w:val="auto"/>
                <w:lang w:val="en-US" w:eastAsia="zh-CN"/>
              </w:rPr>
              <w:sym w:font="Wingdings" w:char="00FE"/>
            </w:r>
            <w:r>
              <w:rPr>
                <w:rFonts w:hint="eastAsia"/>
                <w:color w:val="auto"/>
                <w:lang w:val="en-US" w:eastAsia="zh-CN"/>
              </w:rPr>
              <w:t xml:space="preserve">应急费用  </w:t>
            </w:r>
            <w:r>
              <w:rPr>
                <w:rFonts w:hint="eastAsia" w:ascii="Times New Roman" w:hAnsi="Times New Roman" w:eastAsia="宋体" w:cs="Times New Roman"/>
                <w:color w:val="auto"/>
                <w:kern w:val="2"/>
                <w:sz w:val="21"/>
                <w:lang w:val="en-US" w:eastAsia="zh-CN" w:bidi="ar-SA"/>
              </w:rPr>
              <w:sym w:font="Wingdings" w:char="00FE"/>
            </w:r>
            <w:r>
              <w:rPr>
                <w:rFonts w:hint="eastAsia" w:cs="Times New Roman"/>
                <w:color w:val="auto"/>
                <w:kern w:val="2"/>
                <w:sz w:val="21"/>
                <w:lang w:val="en-US" w:eastAsia="zh-CN" w:bidi="ar-SA"/>
              </w:rPr>
              <w:t>工伤赔偿费用</w:t>
            </w:r>
            <w:r>
              <w:rPr>
                <w:rFonts w:hint="eastAsia"/>
                <w:color w:val="auto"/>
                <w:lang w:val="en-US" w:eastAsia="zh-CN"/>
              </w:rPr>
              <w:t xml:space="preserve">  </w:t>
            </w:r>
            <w:r>
              <w:rPr>
                <w:rFonts w:hint="eastAsia" w:ascii="Times New Roman" w:hAnsi="Times New Roman" w:eastAsia="宋体" w:cs="Times New Roman"/>
                <w:color w:val="auto"/>
                <w:kern w:val="2"/>
                <w:sz w:val="21"/>
                <w:lang w:val="en-US" w:eastAsia="zh-CN" w:bidi="ar-SA"/>
              </w:rPr>
              <w:sym w:font="Wingdings" w:char="00A8"/>
            </w:r>
            <w:r>
              <w:rPr>
                <w:rFonts w:hint="eastAsia" w:cs="Times New Roman"/>
                <w:color w:val="auto"/>
                <w:kern w:val="2"/>
                <w:sz w:val="21"/>
                <w:lang w:val="en-US" w:eastAsia="zh-CN" w:bidi="ar-SA"/>
              </w:rPr>
              <w:t xml:space="preserve">其他  </w:t>
            </w:r>
            <w:r>
              <w:rPr>
                <w:rFonts w:hint="eastAsia"/>
                <w:color w:val="auto"/>
                <w:lang w:val="en-US" w:eastAsia="zh-CN"/>
              </w:rPr>
              <w:sym w:font="Wingdings" w:char="00FE"/>
            </w:r>
            <w:r>
              <w:rPr>
                <w:rFonts w:hint="eastAsia"/>
                <w:color w:val="auto"/>
                <w:lang w:val="en-US" w:eastAsia="zh-CN"/>
              </w:rPr>
              <w:t>其他</w:t>
            </w:r>
          </w:p>
          <w:p>
            <w:pPr>
              <w:rPr>
                <w:rFonts w:hint="default"/>
                <w:lang w:val="en-US" w:eastAsia="zh-CN"/>
              </w:rPr>
            </w:pPr>
            <w:r>
              <w:rPr>
                <w:rFonts w:hint="eastAsia"/>
                <w:lang w:val="en-US" w:eastAsia="zh-CN"/>
              </w:rPr>
              <w:t>本年度至今的支出大约</w:t>
            </w:r>
            <w:r>
              <w:rPr>
                <w:rFonts w:hint="eastAsia"/>
                <w:color w:val="auto"/>
                <w:lang w:val="en-US" w:eastAsia="zh-CN"/>
              </w:rPr>
              <w:t>人民币</w:t>
            </w:r>
            <w:r>
              <w:rPr>
                <w:rFonts w:hint="eastAsia" w:ascii="Calibri" w:hAnsi="Calibri"/>
                <w:color w:val="auto"/>
                <w:u w:val="single"/>
                <w:lang w:val="en-US" w:eastAsia="zh-CN"/>
              </w:rPr>
              <w:t xml:space="preserve">   11.3</w:t>
            </w:r>
            <w:bookmarkStart w:id="4" w:name="_GoBack"/>
            <w:bookmarkEnd w:id="4"/>
            <w:r>
              <w:rPr>
                <w:rFonts w:hint="eastAsia" w:ascii="Calibri" w:hAnsi="Calibri"/>
                <w:color w:val="auto"/>
                <w:u w:val="single"/>
                <w:lang w:val="en-US" w:eastAsia="zh-CN"/>
              </w:rPr>
              <w:t xml:space="preserve"> 万元</w:t>
            </w:r>
          </w:p>
          <w:p>
            <w:pPr>
              <w:rPr>
                <w:color w:val="000000"/>
                <w:szCs w:val="21"/>
              </w:rPr>
            </w:pPr>
          </w:p>
          <w:p>
            <w:pPr>
              <w:numPr>
                <w:ilvl w:val="0"/>
                <w:numId w:val="2"/>
              </w:numPr>
            </w:pPr>
            <w:r>
              <w:rPr>
                <w:rFonts w:hint="eastAsia"/>
                <w:color w:val="000000"/>
                <w:szCs w:val="21"/>
              </w:rPr>
              <w:t>需要从外部供方获得的资源：</w:t>
            </w:r>
            <w:r>
              <w:rPr>
                <w:rFonts w:hint="eastAsia"/>
              </w:rPr>
              <w:t xml:space="preserve"> </w:t>
            </w:r>
            <w:r>
              <w:rPr>
                <w:rFonts w:hint="eastAsia"/>
                <w:u w:val="single"/>
              </w:rPr>
              <w:t xml:space="preserve">  无   </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监视和测量</w:t>
            </w:r>
          </w:p>
        </w:tc>
        <w:tc>
          <w:tcPr>
            <w:tcW w:w="960" w:type="dxa"/>
            <w:vMerge w:val="restart"/>
          </w:tcPr>
          <w:p>
            <w:r>
              <w:rPr>
                <w:rFonts w:hint="eastAsia"/>
              </w:rPr>
              <w:t>O9.1.1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lang w:val="en-US" w:eastAsia="zh-CN"/>
              </w:rPr>
              <w:t xml:space="preserve"> 管理</w:t>
            </w:r>
            <w:r>
              <w:rPr>
                <w:rFonts w:hint="eastAsia"/>
              </w:rPr>
              <w:t>手册第9.1.1条款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组织对监视和测量的职业健康安全绩效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监视和测量的对象</w:t>
                  </w:r>
                </w:p>
              </w:tc>
              <w:tc>
                <w:tcPr>
                  <w:tcW w:w="1650" w:type="dxa"/>
                </w:tcPr>
                <w:p>
                  <w:r>
                    <w:rPr>
                      <w:rFonts w:hint="eastAsia"/>
                    </w:rPr>
                    <w:t>监视、测量、分析和评价的方法</w:t>
                  </w:r>
                </w:p>
              </w:tc>
              <w:tc>
                <w:tcPr>
                  <w:tcW w:w="1848" w:type="dxa"/>
                </w:tcPr>
                <w:p>
                  <w:r>
                    <w:rPr>
                      <w:rFonts w:hint="eastAsia"/>
                    </w:rPr>
                    <w:t>监视和测量的频次和时机</w:t>
                  </w:r>
                </w:p>
              </w:tc>
              <w:tc>
                <w:tcPr>
                  <w:tcW w:w="1887" w:type="dxa"/>
                </w:tcPr>
                <w:p>
                  <w:r>
                    <w:rPr>
                      <w:rFonts w:hint="eastAsia"/>
                    </w:rPr>
                    <w:t>评价其OHS绩效所依据的准则和适当的参数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满足法律法规要求和其他要求的程度；</w:t>
                  </w:r>
                </w:p>
              </w:tc>
              <w:tc>
                <w:tcPr>
                  <w:tcW w:w="1650" w:type="dxa"/>
                </w:tcPr>
                <w:p>
                  <w:r>
                    <w:rPr>
                      <w:rFonts w:hint="eastAsia"/>
                    </w:rPr>
                    <w:t>职业健康和安全监测和检查；对结果的合规性进行分析</w:t>
                  </w:r>
                </w:p>
              </w:tc>
              <w:tc>
                <w:tcPr>
                  <w:tcW w:w="1848" w:type="dxa"/>
                </w:tcPr>
                <w:p>
                  <w:pPr>
                    <w:widowControl/>
                    <w:spacing w:before="40"/>
                    <w:jc w:val="left"/>
                  </w:pPr>
                  <w:r>
                    <w:rPr>
                      <w:rFonts w:hint="eastAsia"/>
                    </w:rPr>
                    <w:t>☑每月 □每季度 ☑每年 □其他</w:t>
                  </w:r>
                </w:p>
              </w:tc>
              <w:tc>
                <w:tcPr>
                  <w:tcW w:w="1887" w:type="dxa"/>
                  <w:vAlign w:val="center"/>
                </w:tcPr>
                <w:p>
                  <w:r>
                    <w:rPr>
                      <w:rFonts w:hint="eastAsia"/>
                    </w:rPr>
                    <w:t>相关标准</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与所辨识的危险源、风险和机遇相关的活动和运行</w:t>
                  </w:r>
                </w:p>
              </w:tc>
              <w:tc>
                <w:tcPr>
                  <w:tcW w:w="1650" w:type="dxa"/>
                </w:tcPr>
                <w:p>
                  <w:r>
                    <w:rPr>
                      <w:rFonts w:hint="eastAsia"/>
                    </w:rPr>
                    <w:t>现场巡视</w:t>
                  </w:r>
                </w:p>
                <w:p>
                  <w:pPr>
                    <w:rPr>
                      <w:rFonts w:hint="default" w:eastAsia="宋体"/>
                      <w:lang w:val="en-US" w:eastAsia="zh-CN"/>
                    </w:rPr>
                  </w:pPr>
                  <w:r>
                    <w:rPr>
                      <w:rFonts w:hint="eastAsia"/>
                    </w:rPr>
                    <w:t>抽查记录</w:t>
                  </w:r>
                  <w:r>
                    <w:rPr>
                      <w:rFonts w:hint="eastAsia"/>
                      <w:lang w:eastAsia="zh-CN"/>
                    </w:rPr>
                    <w:t>《</w:t>
                  </w:r>
                  <w:r>
                    <w:rPr>
                      <w:rFonts w:hint="eastAsia"/>
                      <w:lang w:val="en-US" w:eastAsia="zh-CN"/>
                    </w:rPr>
                    <w:t>消防点检表》</w:t>
                  </w:r>
                </w:p>
              </w:tc>
              <w:tc>
                <w:tcPr>
                  <w:tcW w:w="1848" w:type="dxa"/>
                </w:tcPr>
                <w:p>
                  <w:r>
                    <w:rPr>
                      <w:rFonts w:hint="eastAsia"/>
                    </w:rPr>
                    <w:t>☑每天 ☑每周</w:t>
                  </w:r>
                </w:p>
                <w:p>
                  <w:r>
                    <w:rPr>
                      <w:rFonts w:hint="eastAsia"/>
                    </w:rPr>
                    <w:t>☑每月 □每季度 □每年 □其他</w:t>
                  </w:r>
                </w:p>
              </w:tc>
              <w:tc>
                <w:tcPr>
                  <w:tcW w:w="1887" w:type="dxa"/>
                  <w:vAlign w:val="center"/>
                </w:tcPr>
                <w:p>
                  <w:r>
                    <w:rPr>
                      <w:rFonts w:hint="eastAsia"/>
                    </w:rPr>
                    <w:t>危险源、风险和机遇的规定</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实现组织职业健康安全目标的进展情况</w:t>
                  </w:r>
                </w:p>
              </w:tc>
              <w:tc>
                <w:tcPr>
                  <w:tcW w:w="1650" w:type="dxa"/>
                </w:tcPr>
                <w:p>
                  <w:r>
                    <w:rPr>
                      <w:rFonts w:hint="eastAsia"/>
                    </w:rPr>
                    <w:t>统计分析</w:t>
                  </w:r>
                </w:p>
              </w:tc>
              <w:tc>
                <w:tcPr>
                  <w:tcW w:w="1848" w:type="dxa"/>
                </w:tcPr>
                <w:p>
                  <w:r>
                    <w:rPr>
                      <w:rFonts w:hint="eastAsia"/>
                      <w:lang w:eastAsia="zh-CN"/>
                    </w:rPr>
                    <w:t>□</w:t>
                  </w:r>
                  <w:r>
                    <w:rPr>
                      <w:rFonts w:hint="eastAsia"/>
                    </w:rPr>
                    <w:t xml:space="preserve">每月 </w:t>
                  </w:r>
                  <w:r>
                    <w:rPr>
                      <w:rFonts w:hint="eastAsia"/>
                    </w:rPr>
                    <w:sym w:font="Wingdings 2" w:char="0052"/>
                  </w:r>
                  <w:r>
                    <w:rPr>
                      <w:rFonts w:hint="eastAsia"/>
                    </w:rPr>
                    <w:t>每季度 □每年 □其他</w:t>
                  </w:r>
                </w:p>
              </w:tc>
              <w:tc>
                <w:tcPr>
                  <w:tcW w:w="1887" w:type="dxa"/>
                  <w:vAlign w:val="center"/>
                </w:tcPr>
                <w:p>
                  <w:r>
                    <w:rPr>
                      <w:rFonts w:hint="eastAsia"/>
                    </w:rPr>
                    <w:t>公司OHS目标</w:t>
                  </w:r>
                </w:p>
              </w:tc>
              <w:tc>
                <w:tcPr>
                  <w:tcW w:w="2034" w:type="dxa"/>
                  <w:vAlign w:val="center"/>
                </w:tcPr>
                <w:p>
                  <w:pPr>
                    <w:widowControl/>
                    <w:spacing w:before="40"/>
                  </w:pPr>
                  <w:r>
                    <w:rPr>
                      <w:rFonts w:hint="eastAsia"/>
                      <w:lang w:eastAsia="zh-CN"/>
                    </w:rPr>
                    <w:t>□</w:t>
                  </w:r>
                  <w:r>
                    <w:rPr>
                      <w:rFonts w:hint="eastAsia"/>
                    </w:rPr>
                    <w:t xml:space="preserve">每月 </w:t>
                  </w:r>
                  <w:r>
                    <w:rPr>
                      <w:rFonts w:hint="eastAsia"/>
                    </w:rPr>
                    <w:sym w:font="Wingdings 2" w:char="0052"/>
                  </w:r>
                  <w:r>
                    <w:rPr>
                      <w:rFonts w:hint="eastAsia"/>
                    </w:rPr>
                    <w:t>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运行控制和其他控制的有效性</w:t>
                  </w:r>
                </w:p>
              </w:tc>
              <w:tc>
                <w:tcPr>
                  <w:tcW w:w="1650" w:type="dxa"/>
                </w:tcPr>
                <w:p>
                  <w:r>
                    <w:rPr>
                      <w:rFonts w:hint="eastAsia"/>
                    </w:rPr>
                    <w:t>现场巡视</w:t>
                  </w:r>
                </w:p>
                <w:p>
                  <w:r>
                    <w:rPr>
                      <w:rFonts w:hint="eastAsia"/>
                    </w:rPr>
                    <w:t>抽查记录</w:t>
                  </w:r>
                  <w:r>
                    <w:rPr>
                      <w:rFonts w:hint="eastAsia"/>
                      <w:lang w:eastAsia="zh-CN"/>
                    </w:rPr>
                    <w:t>《</w:t>
                  </w:r>
                  <w:r>
                    <w:rPr>
                      <w:rFonts w:hint="eastAsia"/>
                      <w:lang w:val="en-US" w:eastAsia="zh-CN"/>
                    </w:rPr>
                    <w:t>安全检查记录》</w:t>
                  </w:r>
                </w:p>
              </w:tc>
              <w:tc>
                <w:tcPr>
                  <w:tcW w:w="1848" w:type="dxa"/>
                </w:tcPr>
                <w:p>
                  <w:r>
                    <w:rPr>
                      <w:rFonts w:hint="eastAsia"/>
                    </w:rPr>
                    <w:t>☑每天 ☑每周</w:t>
                  </w:r>
                </w:p>
                <w:p>
                  <w:r>
                    <w:rPr>
                      <w:rFonts w:hint="eastAsia"/>
                    </w:rPr>
                    <w:t>☑每月 □每季度□每年 □其他</w:t>
                  </w:r>
                </w:p>
              </w:tc>
              <w:tc>
                <w:tcPr>
                  <w:tcW w:w="1887" w:type="dxa"/>
                  <w:vAlign w:val="center"/>
                </w:tcPr>
                <w:p>
                  <w:r>
                    <w:rPr>
                      <w:rFonts w:hint="eastAsia"/>
                    </w:rPr>
                    <w:t>运行程序</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体系</w:t>
                  </w:r>
                </w:p>
              </w:tc>
              <w:tc>
                <w:tcPr>
                  <w:tcW w:w="1650" w:type="dxa"/>
                  <w:vAlign w:val="center"/>
                </w:tcPr>
                <w:p>
                  <w:r>
                    <w:rPr>
                      <w:rFonts w:hint="eastAsia"/>
                    </w:rPr>
                    <w:t>内部审核；对内审不符合项进行分析</w:t>
                  </w:r>
                </w:p>
              </w:tc>
              <w:tc>
                <w:tcPr>
                  <w:tcW w:w="1848" w:type="dxa"/>
                  <w:vAlign w:val="center"/>
                </w:tcPr>
                <w:p>
                  <w:r>
                    <w:rPr>
                      <w:rFonts w:hint="eastAsia"/>
                    </w:rPr>
                    <w:t>☑按年度内审计划</w:t>
                  </w:r>
                </w:p>
                <w:p>
                  <w:r>
                    <w:rPr>
                      <w:rFonts w:hint="eastAsia"/>
                    </w:rPr>
                    <w:t>□每年一次</w:t>
                  </w:r>
                </w:p>
                <w:p>
                  <w:r>
                    <w:rPr>
                      <w:rFonts w:hint="eastAsia"/>
                    </w:rPr>
                    <w:t>□特殊情况增加</w:t>
                  </w:r>
                </w:p>
              </w:tc>
              <w:tc>
                <w:tcPr>
                  <w:tcW w:w="1887" w:type="dxa"/>
                  <w:vAlign w:val="center"/>
                </w:tcPr>
                <w:p>
                  <w:r>
                    <w:rPr>
                      <w:rFonts w:hint="eastAsia"/>
                    </w:rPr>
                    <w:t>内审程序和计划</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体系有效性</w:t>
                  </w:r>
                </w:p>
              </w:tc>
              <w:tc>
                <w:tcPr>
                  <w:tcW w:w="1650" w:type="dxa"/>
                  <w:vAlign w:val="center"/>
                </w:tcPr>
                <w:p>
                  <w:r>
                    <w:rPr>
                      <w:rFonts w:hint="eastAsia"/>
                    </w:rPr>
                    <w:t>管理评审，对OHS存在的需要问题进行分析</w:t>
                  </w:r>
                </w:p>
              </w:tc>
              <w:tc>
                <w:tcPr>
                  <w:tcW w:w="1848" w:type="dxa"/>
                  <w:vAlign w:val="center"/>
                </w:tcPr>
                <w:p>
                  <w:r>
                    <w:rPr>
                      <w:rFonts w:hint="eastAsia"/>
                    </w:rPr>
                    <w:t>☑每年一次</w:t>
                  </w:r>
                </w:p>
                <w:p>
                  <w:r>
                    <w:rPr>
                      <w:rFonts w:hint="eastAsia"/>
                    </w:rPr>
                    <w:t>□特殊情况增加</w:t>
                  </w:r>
                </w:p>
              </w:tc>
              <w:tc>
                <w:tcPr>
                  <w:tcW w:w="1887" w:type="dxa"/>
                  <w:vAlign w:val="center"/>
                </w:tcPr>
                <w:p>
                  <w:r>
                    <w:rPr>
                      <w:rFonts w:hint="eastAsia"/>
                    </w:rPr>
                    <w:t>管理评审程序</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相关方反馈</w:t>
                  </w:r>
                </w:p>
              </w:tc>
              <w:tc>
                <w:tcPr>
                  <w:tcW w:w="1650" w:type="dxa"/>
                  <w:vAlign w:val="center"/>
                </w:tcPr>
                <w:p>
                  <w:pPr>
                    <w:rPr>
                      <w:rFonts w:hint="default" w:eastAsia="宋体"/>
                      <w:lang w:val="en-US" w:eastAsia="zh-CN"/>
                    </w:rPr>
                  </w:pPr>
                  <w:r>
                    <w:rPr>
                      <w:rFonts w:hint="eastAsia"/>
                    </w:rPr>
                    <w:t>反馈处理，对问题进行统计</w:t>
                  </w:r>
                  <w:r>
                    <w:rPr>
                      <w:rFonts w:hint="eastAsia"/>
                      <w:lang w:val="en-US" w:eastAsia="zh-CN"/>
                    </w:rPr>
                    <w:t>查看《相关方安全教育记录》</w:t>
                  </w:r>
                </w:p>
              </w:tc>
              <w:tc>
                <w:tcPr>
                  <w:tcW w:w="1848" w:type="dxa"/>
                  <w:vAlign w:val="center"/>
                </w:tcPr>
                <w:p>
                  <w:r>
                    <w:rPr>
                      <w:rFonts w:hint="eastAsia"/>
                      <w:lang w:eastAsia="zh-CN"/>
                    </w:rPr>
                    <w:t>□</w:t>
                  </w:r>
                  <w:r>
                    <w:rPr>
                      <w:rFonts w:hint="eastAsia"/>
                    </w:rPr>
                    <w:t>每年一次</w:t>
                  </w:r>
                </w:p>
                <w:p>
                  <w:r>
                    <w:rPr>
                      <w:rFonts w:hint="eastAsia"/>
                    </w:rPr>
                    <w:sym w:font="Wingdings 2" w:char="0052"/>
                  </w:r>
                  <w:r>
                    <w:rPr>
                      <w:rFonts w:hint="eastAsia"/>
                    </w:rPr>
                    <w:t>随时</w:t>
                  </w:r>
                </w:p>
              </w:tc>
              <w:tc>
                <w:tcPr>
                  <w:tcW w:w="1887" w:type="dxa"/>
                  <w:vAlign w:val="center"/>
                </w:tcPr>
                <w:p>
                  <w:r>
                    <w:rPr>
                      <w:rFonts w:hint="eastAsia"/>
                    </w:rPr>
                    <w:t>相关法规</w:t>
                  </w:r>
                </w:p>
              </w:tc>
              <w:tc>
                <w:tcPr>
                  <w:tcW w:w="2034" w:type="dxa"/>
                  <w:vAlign w:val="center"/>
                </w:tcPr>
                <w:p>
                  <w:pPr>
                    <w:widowControl/>
                    <w:spacing w:before="40"/>
                  </w:pPr>
                  <w:r>
                    <w:rPr>
                      <w:rFonts w:hint="eastAsia"/>
                    </w:rPr>
                    <w:t>□每月 □每季度 ☑每年</w:t>
                  </w:r>
                </w:p>
              </w:tc>
            </w:tr>
          </w:tbl>
          <w:p>
            <w:pPr>
              <w:pStyle w:val="2"/>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rPr>
                <w:rFonts w:hint="eastAsia"/>
              </w:rPr>
              <w:t>O9.3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 xml:space="preserve">《管理评审控制程序》 </w:t>
            </w:r>
            <w:r>
              <w:rPr>
                <w:rFonts w:hint="eastAsia"/>
              </w:rPr>
              <w:sym w:font="Wingdings" w:char="00FE"/>
            </w:r>
            <w:r>
              <w:rPr>
                <w:rFonts w:hint="eastAsia"/>
              </w:rPr>
              <w:t>管理手册第9.3章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widowControl/>
              <w:spacing w:before="40"/>
              <w:jc w:val="left"/>
              <w:rPr>
                <w:color w:val="FF0000"/>
                <w:szCs w:val="18"/>
              </w:rPr>
            </w:pPr>
            <w:r>
              <w:rPr>
                <w:rFonts w:hint="eastAsia"/>
                <w:color w:val="auto"/>
                <w:szCs w:val="18"/>
              </w:rPr>
              <w:t>自</w:t>
            </w:r>
            <w:r>
              <w:rPr>
                <w:color w:val="auto"/>
              </w:rPr>
              <w:sym w:font="Wingdings" w:char="00FE"/>
            </w:r>
            <w:r>
              <w:rPr>
                <w:rFonts w:hint="eastAsia"/>
                <w:color w:val="auto"/>
                <w:szCs w:val="18"/>
              </w:rPr>
              <w:t>管理体系建立后/</w:t>
            </w:r>
            <w:r>
              <w:rPr>
                <w:color w:val="auto"/>
              </w:rPr>
              <w:sym w:font="Wingdings" w:char="00A8"/>
            </w:r>
            <w:r>
              <w:rPr>
                <w:rFonts w:hint="eastAsia"/>
                <w:color w:val="auto"/>
              </w:rPr>
              <w:t>近一年</w:t>
            </w:r>
            <w:r>
              <w:rPr>
                <w:rFonts w:hint="eastAsia"/>
                <w:color w:val="auto"/>
                <w:szCs w:val="18"/>
              </w:rPr>
              <w:t>，于</w:t>
            </w:r>
            <w:r>
              <w:rPr>
                <w:rFonts w:hint="eastAsia"/>
                <w:color w:val="auto"/>
                <w:szCs w:val="18"/>
                <w:u w:val="single"/>
              </w:rPr>
              <w:t xml:space="preserve"> 2021年04月25日</w:t>
            </w:r>
            <w:r>
              <w:rPr>
                <w:rFonts w:hint="eastAsia"/>
                <w:color w:val="auto"/>
                <w:szCs w:val="18"/>
              </w:rPr>
              <w:t>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tbl>
            <w:tblPr>
              <w:tblStyle w:val="8"/>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1962"/>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center"/>
                    <w:rPr>
                      <w:color w:val="auto"/>
                      <w:szCs w:val="21"/>
                    </w:rPr>
                  </w:pPr>
                  <w:r>
                    <w:rPr>
                      <w:rFonts w:hint="eastAsia"/>
                      <w:color w:val="auto"/>
                      <w:szCs w:val="21"/>
                    </w:rPr>
                    <w:t>管理评审输入信息</w:t>
                  </w:r>
                </w:p>
              </w:tc>
              <w:tc>
                <w:tcPr>
                  <w:tcW w:w="1962" w:type="dxa"/>
                </w:tcPr>
                <w:p>
                  <w:pPr>
                    <w:widowControl/>
                    <w:spacing w:before="40"/>
                    <w:jc w:val="center"/>
                    <w:rPr>
                      <w:color w:val="auto"/>
                      <w:szCs w:val="21"/>
                    </w:rPr>
                  </w:pPr>
                  <w:r>
                    <w:rPr>
                      <w:rFonts w:hint="eastAsia"/>
                      <w:color w:val="auto"/>
                      <w:szCs w:val="21"/>
                    </w:rPr>
                    <w:t>评价</w:t>
                  </w:r>
                </w:p>
              </w:tc>
              <w:tc>
                <w:tcPr>
                  <w:tcW w:w="2999" w:type="dxa"/>
                </w:tcPr>
                <w:p>
                  <w:pPr>
                    <w:widowControl/>
                    <w:spacing w:before="40"/>
                    <w:jc w:val="center"/>
                    <w:rPr>
                      <w:color w:val="auto"/>
                      <w:szCs w:val="21"/>
                    </w:rPr>
                  </w:pPr>
                  <w:r>
                    <w:rPr>
                      <w:rFonts w:hint="eastAsia"/>
                      <w:color w:val="auto"/>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以往管理评审所采取措施的情况；</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rFonts w:hint="eastAsia" w:eastAsia="宋体"/>
                      <w:color w:val="auto"/>
                      <w:szCs w:val="21"/>
                      <w:lang w:eastAsia="zh-CN"/>
                    </w:rPr>
                  </w:pPr>
                  <w:r>
                    <w:rPr>
                      <w:rFonts w:hint="eastAsia"/>
                      <w:color w:val="auto"/>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与职业健康安全管理体系相关的内外部议题的变化；</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相关方的需求和期望的变化</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主管部门</w:t>
                  </w:r>
                  <w:r>
                    <w:rPr>
                      <w:color w:val="auto"/>
                      <w:szCs w:val="21"/>
                    </w:rPr>
                    <w:t>日趋严峻的</w:t>
                  </w:r>
                  <w:r>
                    <w:rPr>
                      <w:rFonts w:hint="eastAsia"/>
                      <w:color w:val="auto"/>
                      <w:szCs w:val="21"/>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法律法规和其他要求的变化</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部分新增法规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rPr>
                  </w:pPr>
                  <w:r>
                    <w:rPr>
                      <w:rFonts w:hint="eastAsia"/>
                      <w:color w:val="auto"/>
                    </w:rPr>
                    <w:t>风险和机遇的变化</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职业健康安全目标的实现程度</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职业健康安全目标基本达成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事件、不符合、纠正措施和持续改进及趋势</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rFonts w:hint="eastAsia" w:eastAsia="宋体"/>
                      <w:color w:val="auto"/>
                      <w:szCs w:val="21"/>
                      <w:lang w:eastAsia="zh-CN"/>
                    </w:rPr>
                  </w:pPr>
                  <w:r>
                    <w:rPr>
                      <w:rFonts w:hint="eastAsia"/>
                      <w:color w:val="auto"/>
                      <w:szCs w:val="21"/>
                      <w:lang w:eastAsia="zh-CN"/>
                    </w:rPr>
                    <w:t>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szCs w:val="21"/>
                    </w:rPr>
                  </w:pPr>
                  <w:r>
                    <w:rPr>
                      <w:rFonts w:hint="eastAsia"/>
                      <w:color w:val="auto"/>
                    </w:rPr>
                    <w:t>监视和测量结果及趋势</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rFonts w:hint="eastAsia" w:eastAsia="宋体"/>
                      <w:color w:val="auto"/>
                      <w:szCs w:val="21"/>
                      <w:lang w:eastAsia="zh-CN"/>
                    </w:rPr>
                  </w:pPr>
                  <w:r>
                    <w:rPr>
                      <w:rFonts w:hint="eastAsia"/>
                      <w:color w:val="auto"/>
                      <w:szCs w:val="21"/>
                      <w:lang w:eastAsia="zh-CN"/>
                    </w:rPr>
                    <w:t>符合管理体系要求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rPr>
                  </w:pPr>
                  <w:r>
                    <w:rPr>
                      <w:rFonts w:hint="eastAsia"/>
                      <w:color w:val="auto"/>
                    </w:rPr>
                    <w:t>对法律法规要求和其他要求的合规性评价的结果的趋势</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2020年</w:t>
                  </w:r>
                  <w:r>
                    <w:rPr>
                      <w:rFonts w:hint="eastAsia"/>
                      <w:color w:val="auto"/>
                      <w:szCs w:val="21"/>
                      <w:lang w:val="en-US" w:eastAsia="zh-CN"/>
                    </w:rPr>
                    <w:t>至今</w:t>
                  </w:r>
                  <w:r>
                    <w:rPr>
                      <w:rFonts w:hint="eastAsia"/>
                      <w:color w:val="auto"/>
                      <w:szCs w:val="21"/>
                    </w:rPr>
                    <w:t>无处罚</w:t>
                  </w:r>
                  <w:r>
                    <w:rPr>
                      <w:rFonts w:hint="eastAsia"/>
                      <w:color w:val="auto"/>
                      <w:szCs w:val="21"/>
                      <w:lang w:eastAsia="zh-CN"/>
                    </w:rPr>
                    <w:t>，合规性</w:t>
                  </w:r>
                  <w:r>
                    <w:rPr>
                      <w:rFonts w:hint="eastAsia"/>
                      <w:color w:val="auto"/>
                      <w:szCs w:val="21"/>
                    </w:rPr>
                    <w:t>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szCs w:val="21"/>
                    </w:rPr>
                  </w:pPr>
                  <w:r>
                    <w:rPr>
                      <w:rFonts w:hint="eastAsia"/>
                      <w:color w:val="auto"/>
                    </w:rPr>
                    <w:t>内审、外部审核结果及趋势</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rPr>
                  </w:pPr>
                  <w:r>
                    <w:rPr>
                      <w:rFonts w:hint="eastAsia"/>
                      <w:color w:val="auto"/>
                    </w:rPr>
                    <w:t>工作人员的协商和参与及趋势</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rPr>
                  </w:pPr>
                  <w:r>
                    <w:rPr>
                      <w:rFonts w:hint="eastAsia"/>
                      <w:color w:val="auto"/>
                    </w:rPr>
                    <w:t>风险和机遇即趋势</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szCs w:val="21"/>
                    </w:rPr>
                  </w:pPr>
                  <w:r>
                    <w:rPr>
                      <w:rFonts w:hint="eastAsia"/>
                      <w:color w:val="auto"/>
                    </w:rPr>
                    <w:t>保持有效的职业健康安全管理体系所需资源</w:t>
                  </w:r>
                  <w:r>
                    <w:rPr>
                      <w:color w:val="auto"/>
                    </w:rPr>
                    <w:t>的</w:t>
                  </w:r>
                  <w:r>
                    <w:rPr>
                      <w:rFonts w:hint="eastAsia"/>
                      <w:color w:val="auto"/>
                    </w:rPr>
                    <w:t>充分性；</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szCs w:val="21"/>
                    </w:rPr>
                  </w:pPr>
                  <w:r>
                    <w:rPr>
                      <w:rFonts w:hint="eastAsia"/>
                      <w:color w:val="auto"/>
                    </w:rPr>
                    <w:t>与相关方的有关沟通</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无职业健康安全投诉，无可记录事故，无工伤职业病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rPr>
                  </w:pPr>
                  <w:r>
                    <w:rPr>
                      <w:rFonts w:hint="eastAsia"/>
                      <w:color w:val="auto"/>
                    </w:rPr>
                    <w:t>持续改进的机会</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无</w:t>
                  </w: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w:t>
            </w:r>
            <w:r>
              <w:rPr>
                <w:rFonts w:hint="eastAsia"/>
              </w:rPr>
              <w:t>职业健康安全</w:t>
            </w:r>
            <w:r>
              <w:rPr>
                <w:rFonts w:hint="eastAsia"/>
                <w:color w:val="000000"/>
                <w:szCs w:val="21"/>
              </w:rPr>
              <w:t>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center"/>
                    <w:rPr>
                      <w:szCs w:val="21"/>
                    </w:rPr>
                  </w:pPr>
                  <w:r>
                    <w:rPr>
                      <w:rFonts w:hint="eastAsia"/>
                      <w:szCs w:val="18"/>
                    </w:rPr>
                    <w:t>管理评审输出信息（决策）</w:t>
                  </w:r>
                </w:p>
              </w:tc>
              <w:tc>
                <w:tcPr>
                  <w:tcW w:w="3695" w:type="dxa"/>
                </w:tcPr>
                <w:p>
                  <w:pPr>
                    <w:widowControl/>
                    <w:spacing w:before="40"/>
                    <w:jc w:val="center"/>
                    <w:rPr>
                      <w:szCs w:val="21"/>
                    </w:rPr>
                  </w:pPr>
                  <w:r>
                    <w:rPr>
                      <w:rFonts w:hint="eastAsia"/>
                      <w:szCs w:val="21"/>
                    </w:rPr>
                    <w:t>措施描述（举例）</w:t>
                  </w:r>
                </w:p>
              </w:tc>
              <w:tc>
                <w:tcPr>
                  <w:tcW w:w="2496" w:type="dxa"/>
                </w:tcPr>
                <w:p>
                  <w:pPr>
                    <w:widowControl/>
                    <w:spacing w:before="40"/>
                    <w:jc w:val="center"/>
                    <w:rPr>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rPr>
                    <w:t>与持续改进机会相关的决策</w:t>
                  </w:r>
                </w:p>
              </w:tc>
              <w:tc>
                <w:tcPr>
                  <w:tcW w:w="3695" w:type="dxa"/>
                  <w:vAlign w:val="center"/>
                </w:tcPr>
                <w:p>
                  <w:pPr>
                    <w:widowControl/>
                    <w:spacing w:before="40"/>
                    <w:rPr>
                      <w:rFonts w:hint="eastAsia" w:eastAsia="宋体"/>
                      <w:color w:val="auto"/>
                      <w:szCs w:val="21"/>
                      <w:lang w:eastAsia="zh-CN"/>
                    </w:rPr>
                  </w:pPr>
                  <w:r>
                    <w:rPr>
                      <w:rFonts w:hint="eastAsia" w:eastAsia="宋体"/>
                      <w:color w:val="auto"/>
                      <w:szCs w:val="21"/>
                      <w:lang w:eastAsia="zh-CN"/>
                    </w:rPr>
                    <w:t>加强职业健康安全管理体系标准的学习，提高员工的安全意识</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rPr>
                    <w:t>职业健康安全管理体系所需的变更</w:t>
                  </w:r>
                </w:p>
              </w:tc>
              <w:tc>
                <w:tcPr>
                  <w:tcW w:w="3695" w:type="dxa"/>
                  <w:vAlign w:val="center"/>
                </w:tcPr>
                <w:p>
                  <w:pPr>
                    <w:widowControl/>
                    <w:spacing w:before="40"/>
                    <w:rPr>
                      <w:rFonts w:hint="eastAsia" w:eastAsia="宋体"/>
                      <w:color w:val="auto"/>
                      <w:szCs w:val="21"/>
                      <w:lang w:eastAsia="zh-CN"/>
                    </w:rPr>
                  </w:pPr>
                  <w:r>
                    <w:rPr>
                      <w:rFonts w:hint="eastAsia"/>
                      <w:color w:val="auto"/>
                      <w:szCs w:val="21"/>
                      <w:lang w:val="en-US" w:eastAsia="zh-CN"/>
                    </w:rPr>
                    <w:t>无</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rPr>
                    <w:t>所需资源</w:t>
                  </w:r>
                </w:p>
              </w:tc>
              <w:tc>
                <w:tcPr>
                  <w:tcW w:w="3695" w:type="dxa"/>
                  <w:vAlign w:val="center"/>
                </w:tcPr>
                <w:p>
                  <w:pPr>
                    <w:widowControl/>
                    <w:spacing w:before="40"/>
                    <w:rPr>
                      <w:color w:val="auto"/>
                      <w:szCs w:val="21"/>
                    </w:rPr>
                  </w:pPr>
                  <w:r>
                    <w:rPr>
                      <w:rFonts w:hint="eastAsia"/>
                      <w:color w:val="auto"/>
                      <w:szCs w:val="21"/>
                    </w:rPr>
                    <w:t>资金</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szCs w:val="21"/>
                    </w:rPr>
                    <w:t>目标未实现所采取的措施（需要时）</w:t>
                  </w:r>
                </w:p>
              </w:tc>
              <w:tc>
                <w:tcPr>
                  <w:tcW w:w="3695" w:type="dxa"/>
                  <w:vAlign w:val="center"/>
                </w:tcPr>
                <w:p>
                  <w:pPr>
                    <w:widowControl/>
                    <w:spacing w:before="40"/>
                    <w:rPr>
                      <w:color w:val="auto"/>
                      <w:szCs w:val="21"/>
                    </w:rPr>
                  </w:pPr>
                  <w:r>
                    <w:rPr>
                      <w:rFonts w:hint="eastAsia"/>
                      <w:color w:val="auto"/>
                      <w:szCs w:val="21"/>
                    </w:rPr>
                    <w:t>----</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szCs w:val="21"/>
                    </w:rPr>
                    <w:t>改进</w:t>
                  </w:r>
                  <w:r>
                    <w:rPr>
                      <w:rFonts w:hint="eastAsia"/>
                      <w:color w:val="auto"/>
                    </w:rPr>
                    <w:t>职业健康安全</w:t>
                  </w:r>
                  <w:r>
                    <w:rPr>
                      <w:rFonts w:hint="eastAsia"/>
                      <w:color w:val="auto"/>
                      <w:szCs w:val="21"/>
                    </w:rPr>
                    <w:t>管理体系与其他业务过程融合的机会（需要时）</w:t>
                  </w:r>
                </w:p>
              </w:tc>
              <w:tc>
                <w:tcPr>
                  <w:tcW w:w="3695" w:type="dxa"/>
                  <w:vAlign w:val="center"/>
                </w:tcPr>
                <w:p>
                  <w:pPr>
                    <w:widowControl/>
                    <w:spacing w:before="40"/>
                    <w:rPr>
                      <w:color w:val="auto"/>
                      <w:szCs w:val="21"/>
                    </w:rPr>
                  </w:pP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szCs w:val="21"/>
                    </w:rPr>
                    <w:t>任何与组织战略方向相关的结论</w:t>
                  </w:r>
                </w:p>
              </w:tc>
              <w:tc>
                <w:tcPr>
                  <w:tcW w:w="3695" w:type="dxa"/>
                  <w:vAlign w:val="center"/>
                </w:tcPr>
                <w:p>
                  <w:pPr>
                    <w:widowControl/>
                    <w:spacing w:before="40"/>
                    <w:rPr>
                      <w:color w:val="auto"/>
                      <w:szCs w:val="21"/>
                    </w:rPr>
                  </w:pPr>
                  <w:r>
                    <w:rPr>
                      <w:rFonts w:hint="eastAsia"/>
                      <w:color w:val="auto"/>
                      <w:szCs w:val="21"/>
                    </w:rPr>
                    <w:t>职业健康安全管理有效</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bl>
          <w:p>
            <w:pPr>
              <w:rPr>
                <w:highlight w:val="cyan"/>
              </w:rPr>
            </w:pPr>
          </w:p>
          <w:p>
            <w:r>
              <w:rPr>
                <w:rFonts w:hint="eastAsia"/>
              </w:rPr>
              <w:sym w:font="Wingdings" w:char="00A8"/>
            </w:r>
            <w:r>
              <w:rPr>
                <w:rFonts w:hint="eastAsia"/>
              </w:rPr>
              <w:t>改进措施未落实的原因：</w:t>
            </w:r>
            <w:r>
              <w:rPr>
                <w:rFonts w:hint="eastAsia"/>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highlight w:val="none"/>
              </w:rPr>
            </w:pPr>
            <w:r>
              <w:rPr>
                <w:rFonts w:hint="eastAsia"/>
                <w:highlight w:val="none"/>
              </w:rPr>
              <w:t>改进</w:t>
            </w:r>
          </w:p>
        </w:tc>
        <w:tc>
          <w:tcPr>
            <w:tcW w:w="960" w:type="dxa"/>
            <w:vMerge w:val="restart"/>
          </w:tcPr>
          <w:p>
            <w:pPr>
              <w:rPr>
                <w:highlight w:val="none"/>
              </w:rPr>
            </w:pPr>
            <w:r>
              <w:rPr>
                <w:rFonts w:hint="eastAsia"/>
                <w:highlight w:val="none"/>
              </w:rPr>
              <w:t>Q10.1</w:t>
            </w:r>
          </w:p>
        </w:tc>
        <w:tc>
          <w:tcPr>
            <w:tcW w:w="745" w:type="dxa"/>
          </w:tcPr>
          <w:p>
            <w:pPr>
              <w:rPr>
                <w:highlight w:val="none"/>
              </w:rPr>
            </w:pPr>
            <w:r>
              <w:rPr>
                <w:rFonts w:hint="eastAsia"/>
                <w:highlight w:val="none"/>
              </w:rPr>
              <w:t>文件名称</w:t>
            </w:r>
          </w:p>
        </w:tc>
        <w:tc>
          <w:tcPr>
            <w:tcW w:w="9259" w:type="dxa"/>
            <w:vAlign w:val="center"/>
          </w:tcPr>
          <w:p>
            <w:pPr>
              <w:rPr>
                <w:highlight w:val="none"/>
              </w:rPr>
            </w:pPr>
            <w:r>
              <w:rPr>
                <w:rFonts w:hint="eastAsia"/>
                <w:highlight w:val="none"/>
              </w:rPr>
              <w:t>如：</w:t>
            </w:r>
            <w:r>
              <w:rPr>
                <w:rFonts w:hint="eastAsia"/>
                <w:highlight w:val="none"/>
              </w:rPr>
              <w:sym w:font="Wingdings" w:char="00FE"/>
            </w:r>
            <w:r>
              <w:rPr>
                <w:rFonts w:hint="eastAsia"/>
                <w:highlight w:val="none"/>
              </w:rPr>
              <w:t>管理手册10.1章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highlight w:val="none"/>
              </w:rPr>
            </w:pPr>
          </w:p>
        </w:tc>
        <w:tc>
          <w:tcPr>
            <w:tcW w:w="960" w:type="dxa"/>
            <w:vMerge w:val="continue"/>
          </w:tcPr>
          <w:p>
            <w:pPr>
              <w:rPr>
                <w:highlight w:val="none"/>
              </w:rPr>
            </w:pPr>
          </w:p>
        </w:tc>
        <w:tc>
          <w:tcPr>
            <w:tcW w:w="745" w:type="dxa"/>
          </w:tcPr>
          <w:p>
            <w:pPr>
              <w:rPr>
                <w:highlight w:val="none"/>
              </w:rPr>
            </w:pPr>
            <w:r>
              <w:rPr>
                <w:rFonts w:hint="eastAsia"/>
                <w:highlight w:val="none"/>
              </w:rPr>
              <w:t>运行证据</w:t>
            </w:r>
          </w:p>
        </w:tc>
        <w:tc>
          <w:tcPr>
            <w:tcW w:w="9259" w:type="dxa"/>
          </w:tcPr>
          <w:p>
            <w:pPr>
              <w:rPr>
                <w:highlight w:val="none"/>
              </w:rPr>
            </w:pPr>
            <w:r>
              <w:rPr>
                <w:rFonts w:hint="eastAsia"/>
                <w:highlight w:val="none"/>
              </w:rPr>
              <w:t xml:space="preserve">组织确定了改进机会，并采取必要措施，以实现其职业健康安全管理体系的预期结果。 </w:t>
            </w:r>
          </w:p>
          <w:p>
            <w:pPr>
              <w:rPr>
                <w:highlight w:val="none"/>
              </w:rPr>
            </w:pPr>
            <w:r>
              <w:rPr>
                <w:rFonts w:hint="eastAsia"/>
                <w:highlight w:val="none"/>
              </w:rPr>
              <w:t xml:space="preserve">这包括： </w:t>
            </w:r>
          </w:p>
          <w:p>
            <w:pPr>
              <w:rPr>
                <w:highlight w:val="none"/>
              </w:rPr>
            </w:pPr>
            <w:r>
              <w:rPr>
                <w:rFonts w:hint="eastAsia"/>
                <w:highlight w:val="none"/>
              </w:rPr>
              <w:sym w:font="Wingdings" w:char="00FE"/>
            </w:r>
            <w:r>
              <w:rPr>
                <w:rFonts w:hint="eastAsia"/>
                <w:highlight w:val="none"/>
              </w:rPr>
              <w:t xml:space="preserve">改进产品和服务，以满足相关方要求并应对其需求和期望； </w:t>
            </w:r>
          </w:p>
          <w:p>
            <w:pPr>
              <w:rPr>
                <w:highlight w:val="none"/>
              </w:rPr>
            </w:pPr>
            <w:r>
              <w:rPr>
                <w:rFonts w:hint="eastAsia"/>
                <w:highlight w:val="none"/>
              </w:rPr>
              <w:sym w:font="Wingdings" w:char="00FE"/>
            </w:r>
            <w:r>
              <w:rPr>
                <w:rFonts w:hint="eastAsia"/>
                <w:highlight w:val="none"/>
              </w:rPr>
              <w:t xml:space="preserve">纠正、预防或减少不利影响； </w:t>
            </w:r>
          </w:p>
          <w:p>
            <w:pPr>
              <w:rPr>
                <w:highlight w:val="none"/>
              </w:rPr>
            </w:pPr>
            <w:r>
              <w:rPr>
                <w:rFonts w:hint="eastAsia"/>
                <w:highlight w:val="none"/>
              </w:rPr>
              <w:sym w:font="Wingdings" w:char="00FE"/>
            </w:r>
            <w:r>
              <w:rPr>
                <w:rFonts w:hint="eastAsia"/>
                <w:highlight w:val="none"/>
              </w:rPr>
              <w:t xml:space="preserve">改进职业健康安全管理体系的绩效和有效性。 </w:t>
            </w:r>
          </w:p>
          <w:p>
            <w:pPr>
              <w:rPr>
                <w:highlight w:val="none"/>
              </w:rPr>
            </w:pPr>
          </w:p>
          <w:p>
            <w:pPr>
              <w:rPr>
                <w:highlight w:val="none"/>
              </w:rPr>
            </w:pPr>
            <w:r>
              <w:rPr>
                <w:rFonts w:hint="eastAsia"/>
                <w:highlight w:val="none"/>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highlight w:val="none"/>
              </w:rPr>
            </w:pPr>
            <w:r>
              <w:rPr>
                <w:rFonts w:hint="eastAsia"/>
                <w:highlight w:val="none"/>
              </w:rPr>
              <w:t>持续改进</w:t>
            </w:r>
          </w:p>
        </w:tc>
        <w:tc>
          <w:tcPr>
            <w:tcW w:w="960" w:type="dxa"/>
            <w:vMerge w:val="restart"/>
          </w:tcPr>
          <w:p>
            <w:pPr>
              <w:rPr>
                <w:highlight w:val="none"/>
              </w:rPr>
            </w:pPr>
            <w:r>
              <w:rPr>
                <w:rFonts w:hint="eastAsia"/>
                <w:highlight w:val="none"/>
              </w:rPr>
              <w:t>O10.3</w:t>
            </w:r>
          </w:p>
        </w:tc>
        <w:tc>
          <w:tcPr>
            <w:tcW w:w="745" w:type="dxa"/>
          </w:tcPr>
          <w:p>
            <w:pPr>
              <w:rPr>
                <w:highlight w:val="none"/>
              </w:rPr>
            </w:pPr>
            <w:r>
              <w:rPr>
                <w:rFonts w:hint="eastAsia"/>
                <w:highlight w:val="none"/>
              </w:rPr>
              <w:t>文件名称</w:t>
            </w:r>
          </w:p>
        </w:tc>
        <w:tc>
          <w:tcPr>
            <w:tcW w:w="9259" w:type="dxa"/>
            <w:vAlign w:val="center"/>
          </w:tcPr>
          <w:p>
            <w:pPr>
              <w:rPr>
                <w:highlight w:val="none"/>
              </w:rPr>
            </w:pPr>
            <w:r>
              <w:rPr>
                <w:rFonts w:hint="eastAsia"/>
                <w:highlight w:val="none"/>
              </w:rPr>
              <w:t>如：《不符合、纠正和预防措施控制程序》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vMerge w:val="continue"/>
          </w:tcPr>
          <w:p>
            <w:pPr>
              <w:rPr>
                <w:highlight w:val="none"/>
              </w:rPr>
            </w:pPr>
          </w:p>
        </w:tc>
        <w:tc>
          <w:tcPr>
            <w:tcW w:w="960" w:type="dxa"/>
            <w:vMerge w:val="continue"/>
          </w:tcPr>
          <w:p>
            <w:pPr>
              <w:rPr>
                <w:highlight w:val="none"/>
              </w:rPr>
            </w:pPr>
          </w:p>
        </w:tc>
        <w:tc>
          <w:tcPr>
            <w:tcW w:w="745" w:type="dxa"/>
          </w:tcPr>
          <w:p>
            <w:pPr>
              <w:rPr>
                <w:highlight w:val="none"/>
              </w:rPr>
            </w:pPr>
            <w:r>
              <w:rPr>
                <w:rFonts w:hint="eastAsia"/>
                <w:highlight w:val="none"/>
              </w:rPr>
              <w:t>运行证据</w:t>
            </w:r>
          </w:p>
        </w:tc>
        <w:tc>
          <w:tcPr>
            <w:tcW w:w="9259" w:type="dxa"/>
          </w:tcPr>
          <w:p>
            <w:pPr>
              <w:rPr>
                <w:highlight w:val="none"/>
              </w:rPr>
            </w:pPr>
            <w:r>
              <w:rPr>
                <w:rFonts w:hint="eastAsia"/>
                <w:highlight w:val="none"/>
              </w:rPr>
              <w:t>组织通过下列方式持续改进职业健康安全管理体系的适宜性、充分性与有效性：</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jc w:val="center"/>
                    <w:rPr>
                      <w:highlight w:val="none"/>
                    </w:rPr>
                  </w:pPr>
                  <w:r>
                    <w:rPr>
                      <w:rFonts w:hint="eastAsia"/>
                      <w:highlight w:val="none"/>
                    </w:rPr>
                    <w:t>改进方式</w:t>
                  </w:r>
                </w:p>
              </w:tc>
              <w:tc>
                <w:tcPr>
                  <w:tcW w:w="3305" w:type="dxa"/>
                </w:tcPr>
                <w:p>
                  <w:pPr>
                    <w:jc w:val="center"/>
                    <w:rPr>
                      <w:highlight w:val="none"/>
                    </w:rPr>
                  </w:pPr>
                  <w:r>
                    <w:rPr>
                      <w:rFonts w:hint="eastAsia"/>
                      <w:highlight w:val="none"/>
                    </w:rPr>
                    <w:t>改进活动</w:t>
                  </w:r>
                </w:p>
              </w:tc>
              <w:tc>
                <w:tcPr>
                  <w:tcW w:w="1947" w:type="dxa"/>
                </w:tcPr>
                <w:p>
                  <w:pPr>
                    <w:jc w:val="center"/>
                    <w:rPr>
                      <w:highlight w:val="none"/>
                    </w:rPr>
                  </w:pPr>
                  <w:r>
                    <w:rPr>
                      <w:rFonts w:hint="eastAsia"/>
                      <w:highlight w:val="none"/>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791" w:type="dxa"/>
                </w:tcPr>
                <w:p>
                  <w:pPr>
                    <w:rPr>
                      <w:highlight w:val="none"/>
                    </w:rPr>
                  </w:pPr>
                  <w:r>
                    <w:rPr>
                      <w:rFonts w:hint="eastAsia"/>
                      <w:highlight w:val="none"/>
                    </w:rPr>
                    <w:t>提升职业健康安全绩效</w:t>
                  </w:r>
                </w:p>
              </w:tc>
              <w:tc>
                <w:tcPr>
                  <w:tcW w:w="3305" w:type="dxa"/>
                </w:tcPr>
                <w:p>
                  <w:pPr>
                    <w:rPr>
                      <w:highlight w:val="none"/>
                    </w:rPr>
                  </w:pPr>
                  <w:r>
                    <w:rPr>
                      <w:rFonts w:hint="eastAsia"/>
                      <w:highlight w:val="none"/>
                    </w:rPr>
                    <w:sym w:font="Wingdings" w:char="00FE"/>
                  </w:r>
                  <w:r>
                    <w:rPr>
                      <w:rFonts w:hint="eastAsia"/>
                      <w:highlight w:val="none"/>
                    </w:rPr>
                    <w:t xml:space="preserve"> 见管理评审改进措施</w:t>
                  </w:r>
                </w:p>
              </w:tc>
              <w:tc>
                <w:tcPr>
                  <w:tcW w:w="1947" w:type="dxa"/>
                  <w:vAlign w:val="center"/>
                </w:tcPr>
                <w:p>
                  <w:pPr>
                    <w:rPr>
                      <w:highlight w:val="none"/>
                    </w:rPr>
                  </w:pPr>
                  <w:r>
                    <w:rPr>
                      <w:rFonts w:hint="eastAsia"/>
                      <w:highlight w:val="none"/>
                    </w:rPr>
                    <w:sym w:font="Wingdings" w:char="00FE"/>
                  </w:r>
                  <w:r>
                    <w:rPr>
                      <w:rFonts w:hint="eastAsia"/>
                      <w:highlight w:val="none"/>
                    </w:rPr>
                    <w:t xml:space="preserve">符合  </w:t>
                  </w:r>
                  <w:r>
                    <w:rPr>
                      <w:rFonts w:hint="eastAsia"/>
                      <w:highlight w:val="none"/>
                    </w:rPr>
                    <w:sym w:font="Wingdings" w:char="00FE"/>
                  </w:r>
                  <w:r>
                    <w:rPr>
                      <w:rFonts w:hint="eastAsia"/>
                      <w:highlight w:val="none"/>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91" w:type="dxa"/>
                </w:tcPr>
                <w:p>
                  <w:pPr>
                    <w:rPr>
                      <w:highlight w:val="none"/>
                    </w:rPr>
                  </w:pPr>
                  <w:r>
                    <w:rPr>
                      <w:rFonts w:hint="eastAsia"/>
                      <w:highlight w:val="none"/>
                    </w:rPr>
                    <w:t>促进支持职业健康安全管理体系的文化</w:t>
                  </w:r>
                </w:p>
              </w:tc>
              <w:tc>
                <w:tcPr>
                  <w:tcW w:w="3305" w:type="dxa"/>
                </w:tcPr>
                <w:p>
                  <w:pPr>
                    <w:rPr>
                      <w:highlight w:val="none"/>
                    </w:rPr>
                  </w:pPr>
                  <w:r>
                    <w:rPr>
                      <w:rFonts w:hint="eastAsia"/>
                      <w:highlight w:val="none"/>
                    </w:rPr>
                    <w:sym w:font="Wingdings" w:char="00FE"/>
                  </w:r>
                  <w:r>
                    <w:rPr>
                      <w:rFonts w:hint="eastAsia"/>
                      <w:highlight w:val="none"/>
                    </w:rPr>
                    <w:t xml:space="preserve"> 见OHS意识的培养</w:t>
                  </w:r>
                </w:p>
              </w:tc>
              <w:tc>
                <w:tcPr>
                  <w:tcW w:w="1947" w:type="dxa"/>
                  <w:vAlign w:val="center"/>
                </w:tcPr>
                <w:p>
                  <w:pPr>
                    <w:rPr>
                      <w:highlight w:val="none"/>
                    </w:rPr>
                  </w:pPr>
                  <w:r>
                    <w:rPr>
                      <w:rFonts w:hint="eastAsia"/>
                      <w:highlight w:val="none"/>
                    </w:rPr>
                    <w:sym w:font="Wingdings" w:char="00FE"/>
                  </w:r>
                  <w:r>
                    <w:rPr>
                      <w:rFonts w:hint="eastAsia"/>
                      <w:highlight w:val="none"/>
                    </w:rPr>
                    <w:t xml:space="preserve">符合  </w:t>
                  </w:r>
                  <w:r>
                    <w:rPr>
                      <w:rFonts w:hint="eastAsia"/>
                      <w:highlight w:val="none"/>
                    </w:rPr>
                    <w:sym w:font="Wingdings" w:char="00FE"/>
                  </w:r>
                  <w:r>
                    <w:rPr>
                      <w:rFonts w:hint="eastAsia"/>
                      <w:highlight w:val="none"/>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rPr>
                      <w:highlight w:val="none"/>
                    </w:rPr>
                  </w:pPr>
                  <w:r>
                    <w:rPr>
                      <w:rFonts w:hint="eastAsia"/>
                      <w:highlight w:val="none"/>
                    </w:rPr>
                    <w:t>促进工作人员参与职业健康安全管理体系持续改进措施的实施</w:t>
                  </w:r>
                </w:p>
              </w:tc>
              <w:tc>
                <w:tcPr>
                  <w:tcW w:w="3305" w:type="dxa"/>
                </w:tcPr>
                <w:p>
                  <w:pPr>
                    <w:rPr>
                      <w:highlight w:val="none"/>
                    </w:rPr>
                  </w:pPr>
                  <w:r>
                    <w:rPr>
                      <w:rFonts w:hint="eastAsia"/>
                      <w:highlight w:val="none"/>
                    </w:rPr>
                    <w:sym w:font="Wingdings" w:char="00FE"/>
                  </w:r>
                  <w:r>
                    <w:rPr>
                      <w:rFonts w:hint="eastAsia"/>
                      <w:highlight w:val="none"/>
                    </w:rPr>
                    <w:t xml:space="preserve"> 见协商和参与</w:t>
                  </w:r>
                </w:p>
                <w:p>
                  <w:pPr>
                    <w:rPr>
                      <w:highlight w:val="none"/>
                    </w:rPr>
                  </w:pPr>
                  <w:r>
                    <w:rPr>
                      <w:rFonts w:hint="eastAsia"/>
                      <w:highlight w:val="none"/>
                    </w:rPr>
                    <w:sym w:font="Wingdings" w:char="00FE"/>
                  </w:r>
                  <w:r>
                    <w:rPr>
                      <w:rFonts w:hint="eastAsia"/>
                      <w:highlight w:val="none"/>
                    </w:rPr>
                    <w:t xml:space="preserve"> 见管理评审改进措施</w:t>
                  </w:r>
                </w:p>
                <w:p>
                  <w:pPr>
                    <w:rPr>
                      <w:highlight w:val="none"/>
                    </w:rPr>
                  </w:pPr>
                  <w:r>
                    <w:rPr>
                      <w:rFonts w:hint="eastAsia"/>
                      <w:highlight w:val="none"/>
                    </w:rPr>
                    <w:sym w:font="Wingdings" w:char="00FE"/>
                  </w:r>
                  <w:r>
                    <w:rPr>
                      <w:rFonts w:hint="eastAsia"/>
                      <w:highlight w:val="none"/>
                    </w:rPr>
                    <w:t xml:space="preserve"> 见事件、不符合和纠正措施</w:t>
                  </w:r>
                </w:p>
              </w:tc>
              <w:tc>
                <w:tcPr>
                  <w:tcW w:w="1947" w:type="dxa"/>
                  <w:vAlign w:val="center"/>
                </w:tcPr>
                <w:p>
                  <w:pPr>
                    <w:rPr>
                      <w:highlight w:val="none"/>
                    </w:rPr>
                  </w:pPr>
                  <w:r>
                    <w:rPr>
                      <w:rFonts w:hint="eastAsia"/>
                      <w:highlight w:val="none"/>
                    </w:rPr>
                    <w:sym w:font="Wingdings" w:char="00FE"/>
                  </w:r>
                  <w:r>
                    <w:rPr>
                      <w:rFonts w:hint="eastAsia"/>
                      <w:highlight w:val="none"/>
                    </w:rPr>
                    <w:t xml:space="preserve">符合  </w:t>
                  </w:r>
                  <w:r>
                    <w:rPr>
                      <w:rFonts w:hint="eastAsia"/>
                      <w:highlight w:val="none"/>
                    </w:rPr>
                    <w:sym w:font="Wingdings" w:char="00FE"/>
                  </w:r>
                  <w:r>
                    <w:rPr>
                      <w:rFonts w:hint="eastAsia"/>
                      <w:highlight w:val="none"/>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rPr>
                      <w:highlight w:val="none"/>
                    </w:rPr>
                  </w:pPr>
                  <w:r>
                    <w:rPr>
                      <w:rFonts w:hint="eastAsia"/>
                      <w:highlight w:val="none"/>
                    </w:rPr>
                    <w:t>就有关持续改进的结果与工作人员及其代表（若有）进行沟通</w:t>
                  </w:r>
                </w:p>
              </w:tc>
              <w:tc>
                <w:tcPr>
                  <w:tcW w:w="3305" w:type="dxa"/>
                </w:tcPr>
                <w:p>
                  <w:pPr>
                    <w:rPr>
                      <w:highlight w:val="none"/>
                    </w:rPr>
                  </w:pPr>
                  <w:r>
                    <w:rPr>
                      <w:rFonts w:hint="eastAsia"/>
                      <w:highlight w:val="none"/>
                    </w:rPr>
                    <w:sym w:font="Wingdings" w:char="00FE"/>
                  </w:r>
                  <w:r>
                    <w:rPr>
                      <w:rFonts w:hint="eastAsia"/>
                      <w:highlight w:val="none"/>
                    </w:rPr>
                    <w:t xml:space="preserve"> 见协商和参与</w:t>
                  </w:r>
                </w:p>
                <w:p>
                  <w:pPr>
                    <w:rPr>
                      <w:highlight w:val="none"/>
                    </w:rPr>
                  </w:pPr>
                  <w:r>
                    <w:rPr>
                      <w:rFonts w:hint="eastAsia"/>
                      <w:highlight w:val="none"/>
                    </w:rPr>
                    <w:sym w:font="Wingdings" w:char="00FE"/>
                  </w:r>
                  <w:r>
                    <w:rPr>
                      <w:rFonts w:hint="eastAsia"/>
                      <w:highlight w:val="none"/>
                    </w:rPr>
                    <w:t xml:space="preserve"> 见管理评审改进措施</w:t>
                  </w:r>
                </w:p>
                <w:p>
                  <w:pPr>
                    <w:rPr>
                      <w:highlight w:val="none"/>
                    </w:rPr>
                  </w:pPr>
                  <w:r>
                    <w:rPr>
                      <w:rFonts w:hint="eastAsia"/>
                      <w:highlight w:val="none"/>
                    </w:rPr>
                    <w:sym w:font="Wingdings" w:char="00FE"/>
                  </w:r>
                  <w:r>
                    <w:rPr>
                      <w:rFonts w:hint="eastAsia"/>
                      <w:highlight w:val="none"/>
                    </w:rPr>
                    <w:t xml:space="preserve"> 见事件、不符合和纠正措施</w:t>
                  </w:r>
                </w:p>
              </w:tc>
              <w:tc>
                <w:tcPr>
                  <w:tcW w:w="1947" w:type="dxa"/>
                  <w:vAlign w:val="center"/>
                </w:tcPr>
                <w:p>
                  <w:pPr>
                    <w:rPr>
                      <w:highlight w:val="none"/>
                    </w:rPr>
                  </w:pPr>
                  <w:r>
                    <w:rPr>
                      <w:rFonts w:hint="eastAsia"/>
                      <w:highlight w:val="none"/>
                    </w:rPr>
                    <w:sym w:font="Wingdings" w:char="00FE"/>
                  </w:r>
                  <w:r>
                    <w:rPr>
                      <w:rFonts w:hint="eastAsia"/>
                      <w:highlight w:val="none"/>
                    </w:rPr>
                    <w:t xml:space="preserve">符合  </w:t>
                  </w:r>
                  <w:r>
                    <w:rPr>
                      <w:rFonts w:hint="eastAsia"/>
                      <w:highlight w:val="none"/>
                    </w:rPr>
                    <w:sym w:font="Wingdings" w:char="00FE"/>
                  </w:r>
                  <w:r>
                    <w:rPr>
                      <w:rFonts w:hint="eastAsia"/>
                      <w:highlight w:val="none"/>
                    </w:rPr>
                    <w:t xml:space="preserve">不符合 </w:t>
                  </w:r>
                </w:p>
              </w:tc>
            </w:tr>
          </w:tbl>
          <w:p>
            <w:pPr>
              <w:rPr>
                <w:highlight w:val="none"/>
              </w:rPr>
            </w:pPr>
          </w:p>
          <w:p>
            <w:pPr>
              <w:rPr>
                <w:highlight w:val="none"/>
              </w:rPr>
            </w:pPr>
            <w:r>
              <w:rPr>
                <w:rFonts w:hint="eastAsia"/>
                <w:highlight w:val="none"/>
              </w:rPr>
              <w:sym w:font="Wingdings" w:char="00FE"/>
            </w:r>
            <w:r>
              <w:rPr>
                <w:rFonts w:hint="eastAsia"/>
                <w:highlight w:val="none"/>
              </w:rPr>
              <w:t xml:space="preserve"> 管理评审改进措施已落实</w:t>
            </w:r>
          </w:p>
          <w:p>
            <w:pPr>
              <w:rPr>
                <w:highlight w:val="none"/>
              </w:rPr>
            </w:pPr>
            <w:r>
              <w:rPr>
                <w:rFonts w:hint="eastAsia"/>
                <w:highlight w:val="none"/>
              </w:rPr>
              <w:sym w:font="Wingdings" w:char="00A8"/>
            </w:r>
            <w:r>
              <w:rPr>
                <w:rFonts w:hint="eastAsia"/>
                <w:highlight w:val="none"/>
              </w:rPr>
              <w:t xml:space="preserve"> 管理评审改进措施未落实的原因：</w:t>
            </w:r>
            <w:r>
              <w:rPr>
                <w:rFonts w:hint="eastAsia"/>
                <w:highlight w:val="none"/>
                <w:u w:val="single"/>
              </w:rPr>
              <w:t xml:space="preserve">                              </w:t>
            </w:r>
          </w:p>
        </w:tc>
        <w:tc>
          <w:tcPr>
            <w:tcW w:w="1585" w:type="dxa"/>
            <w:vMerge w:val="continue"/>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735" w:firstLine="0"/>
      </w:pPr>
      <w:rPr>
        <w:rFonts w:hint="eastAsia" w:ascii="黑体" w:hAnsi="Times New Roman" w:eastAsia="黑体"/>
        <w:b w:val="0"/>
        <w:i w:val="0"/>
        <w:sz w:val="21"/>
      </w:rPr>
    </w:lvl>
    <w:lvl w:ilvl="3" w:tentative="0">
      <w:start w:val="1"/>
      <w:numFmt w:val="decimal"/>
      <w:pStyle w:val="18"/>
      <w:suff w:val="nothing"/>
      <w:lvlText w:val="%1%2.%3.%4　"/>
      <w:lvlJc w:val="left"/>
      <w:pPr>
        <w:ind w:left="1050" w:firstLine="0"/>
      </w:pPr>
      <w:rPr>
        <w:rFonts w:hint="eastAsia" w:ascii="黑体" w:hAnsi="Times New Roman" w:eastAsia="黑体"/>
        <w:b w:val="0"/>
        <w:i w:val="0"/>
        <w:sz w:val="21"/>
      </w:rPr>
    </w:lvl>
    <w:lvl w:ilvl="4" w:tentative="0">
      <w:start w:val="1"/>
      <w:numFmt w:val="decimal"/>
      <w:pStyle w:val="17"/>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204E3"/>
    <w:rsid w:val="00183D5C"/>
    <w:rsid w:val="001A2D7F"/>
    <w:rsid w:val="001C7397"/>
    <w:rsid w:val="00256797"/>
    <w:rsid w:val="002939AD"/>
    <w:rsid w:val="00314AF6"/>
    <w:rsid w:val="00337922"/>
    <w:rsid w:val="00340867"/>
    <w:rsid w:val="00375B0D"/>
    <w:rsid w:val="00380837"/>
    <w:rsid w:val="003A198A"/>
    <w:rsid w:val="00410914"/>
    <w:rsid w:val="004177C7"/>
    <w:rsid w:val="004535F9"/>
    <w:rsid w:val="0048201E"/>
    <w:rsid w:val="00533D2F"/>
    <w:rsid w:val="00536930"/>
    <w:rsid w:val="00564E53"/>
    <w:rsid w:val="005D5659"/>
    <w:rsid w:val="00600C20"/>
    <w:rsid w:val="006025A8"/>
    <w:rsid w:val="00644FE2"/>
    <w:rsid w:val="0067640C"/>
    <w:rsid w:val="006E678B"/>
    <w:rsid w:val="006E7B1D"/>
    <w:rsid w:val="006F5656"/>
    <w:rsid w:val="007757F3"/>
    <w:rsid w:val="007C1B48"/>
    <w:rsid w:val="007E3B15"/>
    <w:rsid w:val="007E6AEB"/>
    <w:rsid w:val="008973EE"/>
    <w:rsid w:val="00971600"/>
    <w:rsid w:val="009973B4"/>
    <w:rsid w:val="009C28C1"/>
    <w:rsid w:val="009F7EED"/>
    <w:rsid w:val="00A80636"/>
    <w:rsid w:val="00AF0AAB"/>
    <w:rsid w:val="00BC0BAE"/>
    <w:rsid w:val="00BF597E"/>
    <w:rsid w:val="00C070B1"/>
    <w:rsid w:val="00C51A36"/>
    <w:rsid w:val="00C55228"/>
    <w:rsid w:val="00C63768"/>
    <w:rsid w:val="00CE315A"/>
    <w:rsid w:val="00D06F59"/>
    <w:rsid w:val="00D8388C"/>
    <w:rsid w:val="00E6224C"/>
    <w:rsid w:val="00EB0164"/>
    <w:rsid w:val="00ED0F62"/>
    <w:rsid w:val="00F36130"/>
    <w:rsid w:val="00FD1E31"/>
    <w:rsid w:val="010054DC"/>
    <w:rsid w:val="01260C71"/>
    <w:rsid w:val="0148246F"/>
    <w:rsid w:val="01E27364"/>
    <w:rsid w:val="02113B23"/>
    <w:rsid w:val="021E04B6"/>
    <w:rsid w:val="02203F02"/>
    <w:rsid w:val="0228580F"/>
    <w:rsid w:val="026A697D"/>
    <w:rsid w:val="028120F9"/>
    <w:rsid w:val="02C75A20"/>
    <w:rsid w:val="03085664"/>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4D1504C"/>
    <w:rsid w:val="050D3D1E"/>
    <w:rsid w:val="05422E8D"/>
    <w:rsid w:val="05505823"/>
    <w:rsid w:val="056577F0"/>
    <w:rsid w:val="056A75E8"/>
    <w:rsid w:val="05705C5F"/>
    <w:rsid w:val="059C20C3"/>
    <w:rsid w:val="05A05014"/>
    <w:rsid w:val="05F6270F"/>
    <w:rsid w:val="0605101B"/>
    <w:rsid w:val="06120F24"/>
    <w:rsid w:val="0618393F"/>
    <w:rsid w:val="061B4460"/>
    <w:rsid w:val="06475D51"/>
    <w:rsid w:val="067B702D"/>
    <w:rsid w:val="06994A8D"/>
    <w:rsid w:val="06AA7E97"/>
    <w:rsid w:val="06ED612A"/>
    <w:rsid w:val="06F516FA"/>
    <w:rsid w:val="06FA3125"/>
    <w:rsid w:val="0700448C"/>
    <w:rsid w:val="078B332B"/>
    <w:rsid w:val="07C13D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E6357F"/>
    <w:rsid w:val="09FA6045"/>
    <w:rsid w:val="0A0F142E"/>
    <w:rsid w:val="0A1C56C1"/>
    <w:rsid w:val="0A793506"/>
    <w:rsid w:val="0A8371C4"/>
    <w:rsid w:val="0A904067"/>
    <w:rsid w:val="0ABC216E"/>
    <w:rsid w:val="0AC7305D"/>
    <w:rsid w:val="0ACA6ED2"/>
    <w:rsid w:val="0AEF4D8D"/>
    <w:rsid w:val="0B0C5CAD"/>
    <w:rsid w:val="0B10795D"/>
    <w:rsid w:val="0B3A4AAA"/>
    <w:rsid w:val="0B736E2A"/>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E021A5E"/>
    <w:rsid w:val="0E49595F"/>
    <w:rsid w:val="0E4C35DF"/>
    <w:rsid w:val="0E5927F2"/>
    <w:rsid w:val="0EA43140"/>
    <w:rsid w:val="0EA50415"/>
    <w:rsid w:val="0EB8524B"/>
    <w:rsid w:val="0EB8667B"/>
    <w:rsid w:val="0ECE0C57"/>
    <w:rsid w:val="0F2316C5"/>
    <w:rsid w:val="0F86648B"/>
    <w:rsid w:val="0FBB3782"/>
    <w:rsid w:val="0FDE4D72"/>
    <w:rsid w:val="0FFA42BF"/>
    <w:rsid w:val="100911EE"/>
    <w:rsid w:val="100B6D7F"/>
    <w:rsid w:val="100D075A"/>
    <w:rsid w:val="106A3497"/>
    <w:rsid w:val="1072061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7B0EE9"/>
    <w:rsid w:val="15B265C1"/>
    <w:rsid w:val="15B5072B"/>
    <w:rsid w:val="15BC540D"/>
    <w:rsid w:val="15DD042A"/>
    <w:rsid w:val="15E02CEB"/>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BB6267"/>
    <w:rsid w:val="18F62E16"/>
    <w:rsid w:val="18FB3FC3"/>
    <w:rsid w:val="1906444A"/>
    <w:rsid w:val="190758B8"/>
    <w:rsid w:val="193C2BA0"/>
    <w:rsid w:val="19444428"/>
    <w:rsid w:val="19553BF7"/>
    <w:rsid w:val="197008AF"/>
    <w:rsid w:val="19746F33"/>
    <w:rsid w:val="197E61C1"/>
    <w:rsid w:val="19811130"/>
    <w:rsid w:val="198F29B9"/>
    <w:rsid w:val="19D74BC7"/>
    <w:rsid w:val="19DE4928"/>
    <w:rsid w:val="19FD49DB"/>
    <w:rsid w:val="1A041A8F"/>
    <w:rsid w:val="1A0822F2"/>
    <w:rsid w:val="1A546A4C"/>
    <w:rsid w:val="1A6C3FF9"/>
    <w:rsid w:val="1A996190"/>
    <w:rsid w:val="1AAF33A8"/>
    <w:rsid w:val="1AB42370"/>
    <w:rsid w:val="1ACF1254"/>
    <w:rsid w:val="1AED5B63"/>
    <w:rsid w:val="1B281F5C"/>
    <w:rsid w:val="1B462375"/>
    <w:rsid w:val="1B5E3B97"/>
    <w:rsid w:val="1B6B0728"/>
    <w:rsid w:val="1BBF5C04"/>
    <w:rsid w:val="1BCD775C"/>
    <w:rsid w:val="1C2B6F16"/>
    <w:rsid w:val="1C392A3A"/>
    <w:rsid w:val="1C683E38"/>
    <w:rsid w:val="1CB1322F"/>
    <w:rsid w:val="1CB51621"/>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AD0360"/>
    <w:rsid w:val="1ED92646"/>
    <w:rsid w:val="1EF77273"/>
    <w:rsid w:val="1F0756AB"/>
    <w:rsid w:val="1F1B65D5"/>
    <w:rsid w:val="1F35289F"/>
    <w:rsid w:val="1F4E73A5"/>
    <w:rsid w:val="1F61098D"/>
    <w:rsid w:val="1F6F6663"/>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0F232A3"/>
    <w:rsid w:val="21A07B88"/>
    <w:rsid w:val="21A34258"/>
    <w:rsid w:val="21C87DD9"/>
    <w:rsid w:val="21D24208"/>
    <w:rsid w:val="226B2F60"/>
    <w:rsid w:val="227B5AC7"/>
    <w:rsid w:val="22813299"/>
    <w:rsid w:val="229F2D1A"/>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19537A"/>
    <w:rsid w:val="252E4B6C"/>
    <w:rsid w:val="25391377"/>
    <w:rsid w:val="258041F6"/>
    <w:rsid w:val="258609CC"/>
    <w:rsid w:val="25B809C4"/>
    <w:rsid w:val="25FE09A4"/>
    <w:rsid w:val="261B55F8"/>
    <w:rsid w:val="261C0F72"/>
    <w:rsid w:val="261D5675"/>
    <w:rsid w:val="26325483"/>
    <w:rsid w:val="26410887"/>
    <w:rsid w:val="269C7CAD"/>
    <w:rsid w:val="27130F81"/>
    <w:rsid w:val="271B4DE1"/>
    <w:rsid w:val="272228DE"/>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7C51CA"/>
    <w:rsid w:val="2892323E"/>
    <w:rsid w:val="289361DE"/>
    <w:rsid w:val="28C3395C"/>
    <w:rsid w:val="291C5E47"/>
    <w:rsid w:val="293E1857"/>
    <w:rsid w:val="29513E8D"/>
    <w:rsid w:val="296D2D47"/>
    <w:rsid w:val="298C2767"/>
    <w:rsid w:val="29A77C84"/>
    <w:rsid w:val="29CB46C2"/>
    <w:rsid w:val="29DD1C13"/>
    <w:rsid w:val="29F77BA5"/>
    <w:rsid w:val="2A2B4BFA"/>
    <w:rsid w:val="2A3A6E77"/>
    <w:rsid w:val="2A570814"/>
    <w:rsid w:val="2A85024C"/>
    <w:rsid w:val="2AC8327F"/>
    <w:rsid w:val="2ACE6C77"/>
    <w:rsid w:val="2AD3142C"/>
    <w:rsid w:val="2B0D2F04"/>
    <w:rsid w:val="2B1D2572"/>
    <w:rsid w:val="2B206A2D"/>
    <w:rsid w:val="2B4C1179"/>
    <w:rsid w:val="2B5D0EFC"/>
    <w:rsid w:val="2B6C36BA"/>
    <w:rsid w:val="2B7B0583"/>
    <w:rsid w:val="2BA00560"/>
    <w:rsid w:val="2BD60481"/>
    <w:rsid w:val="2BEA3FA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031692"/>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C4522"/>
    <w:rsid w:val="34763B6D"/>
    <w:rsid w:val="347A0336"/>
    <w:rsid w:val="348376B7"/>
    <w:rsid w:val="349146C7"/>
    <w:rsid w:val="34F92D63"/>
    <w:rsid w:val="3545030D"/>
    <w:rsid w:val="35527F1F"/>
    <w:rsid w:val="356E7CA4"/>
    <w:rsid w:val="357914C0"/>
    <w:rsid w:val="35994264"/>
    <w:rsid w:val="35A91DF6"/>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0E0B2A"/>
    <w:rsid w:val="3A160597"/>
    <w:rsid w:val="3A3E0D9F"/>
    <w:rsid w:val="3A5573DE"/>
    <w:rsid w:val="3A734128"/>
    <w:rsid w:val="3AAB1306"/>
    <w:rsid w:val="3ABB3480"/>
    <w:rsid w:val="3ABD0173"/>
    <w:rsid w:val="3AC172FF"/>
    <w:rsid w:val="3ACE23E2"/>
    <w:rsid w:val="3AE97FFD"/>
    <w:rsid w:val="3AEC3267"/>
    <w:rsid w:val="3B0D014A"/>
    <w:rsid w:val="3B227AA7"/>
    <w:rsid w:val="3B4241C0"/>
    <w:rsid w:val="3B5F0280"/>
    <w:rsid w:val="3BAB4C5D"/>
    <w:rsid w:val="3BEE1D6F"/>
    <w:rsid w:val="3BF1473C"/>
    <w:rsid w:val="3CA475E5"/>
    <w:rsid w:val="3CA717F2"/>
    <w:rsid w:val="3CC445CD"/>
    <w:rsid w:val="3CC56579"/>
    <w:rsid w:val="3CED4B6C"/>
    <w:rsid w:val="3D073283"/>
    <w:rsid w:val="3D24558C"/>
    <w:rsid w:val="3DAB460B"/>
    <w:rsid w:val="3DDA7DB2"/>
    <w:rsid w:val="3E342793"/>
    <w:rsid w:val="3E3C5235"/>
    <w:rsid w:val="3EA34B57"/>
    <w:rsid w:val="3EBE5D17"/>
    <w:rsid w:val="3ED12579"/>
    <w:rsid w:val="3EDD2B90"/>
    <w:rsid w:val="3EE3221D"/>
    <w:rsid w:val="3EEF1E6E"/>
    <w:rsid w:val="3F532B3A"/>
    <w:rsid w:val="3F654598"/>
    <w:rsid w:val="3F8E03C8"/>
    <w:rsid w:val="3FA434FD"/>
    <w:rsid w:val="3FB850F1"/>
    <w:rsid w:val="3FC72695"/>
    <w:rsid w:val="3FD70A70"/>
    <w:rsid w:val="3FF76BA4"/>
    <w:rsid w:val="403F19EE"/>
    <w:rsid w:val="404047B5"/>
    <w:rsid w:val="404F3BBA"/>
    <w:rsid w:val="40571F31"/>
    <w:rsid w:val="405F2A5D"/>
    <w:rsid w:val="40760623"/>
    <w:rsid w:val="408B7234"/>
    <w:rsid w:val="409D6F53"/>
    <w:rsid w:val="40E27AF7"/>
    <w:rsid w:val="40F80D82"/>
    <w:rsid w:val="410B541D"/>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C730CD"/>
    <w:rsid w:val="44350F69"/>
    <w:rsid w:val="44A567F5"/>
    <w:rsid w:val="45237F18"/>
    <w:rsid w:val="453B1EBC"/>
    <w:rsid w:val="45635AEC"/>
    <w:rsid w:val="45BA54FA"/>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912790"/>
    <w:rsid w:val="499E2087"/>
    <w:rsid w:val="49C0281D"/>
    <w:rsid w:val="49E14879"/>
    <w:rsid w:val="49E3211A"/>
    <w:rsid w:val="49E449BF"/>
    <w:rsid w:val="49EC77B8"/>
    <w:rsid w:val="49ED5B1C"/>
    <w:rsid w:val="49F46C27"/>
    <w:rsid w:val="4A3057A3"/>
    <w:rsid w:val="4A53182E"/>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2562F4"/>
    <w:rsid w:val="4D352804"/>
    <w:rsid w:val="4D374D03"/>
    <w:rsid w:val="4D4931CF"/>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503C3BCC"/>
    <w:rsid w:val="507C26C1"/>
    <w:rsid w:val="50804466"/>
    <w:rsid w:val="50C41CF1"/>
    <w:rsid w:val="51217DA6"/>
    <w:rsid w:val="51294703"/>
    <w:rsid w:val="51425A27"/>
    <w:rsid w:val="5158757E"/>
    <w:rsid w:val="51642DA6"/>
    <w:rsid w:val="51CC6B38"/>
    <w:rsid w:val="521A5D1E"/>
    <w:rsid w:val="523624DE"/>
    <w:rsid w:val="526B2302"/>
    <w:rsid w:val="52735F79"/>
    <w:rsid w:val="52A23F56"/>
    <w:rsid w:val="52BA5471"/>
    <w:rsid w:val="52CC19B1"/>
    <w:rsid w:val="52D256C3"/>
    <w:rsid w:val="52D871F4"/>
    <w:rsid w:val="52F263D6"/>
    <w:rsid w:val="52FB0DF2"/>
    <w:rsid w:val="53024EB7"/>
    <w:rsid w:val="531F2139"/>
    <w:rsid w:val="53261795"/>
    <w:rsid w:val="534F62F7"/>
    <w:rsid w:val="53660E02"/>
    <w:rsid w:val="536F60C1"/>
    <w:rsid w:val="53953BE7"/>
    <w:rsid w:val="53970F9D"/>
    <w:rsid w:val="53DB2F56"/>
    <w:rsid w:val="53F51637"/>
    <w:rsid w:val="54124FEF"/>
    <w:rsid w:val="541C4B67"/>
    <w:rsid w:val="54802016"/>
    <w:rsid w:val="54E7536E"/>
    <w:rsid w:val="550429BE"/>
    <w:rsid w:val="552A2893"/>
    <w:rsid w:val="55436287"/>
    <w:rsid w:val="556B045B"/>
    <w:rsid w:val="557D4E77"/>
    <w:rsid w:val="55802BA4"/>
    <w:rsid w:val="55C375DD"/>
    <w:rsid w:val="56026B10"/>
    <w:rsid w:val="56156439"/>
    <w:rsid w:val="56270CFC"/>
    <w:rsid w:val="563A02F6"/>
    <w:rsid w:val="56643532"/>
    <w:rsid w:val="568B5A7B"/>
    <w:rsid w:val="56C41BCC"/>
    <w:rsid w:val="570A6E63"/>
    <w:rsid w:val="573B0118"/>
    <w:rsid w:val="573D2268"/>
    <w:rsid w:val="573D308A"/>
    <w:rsid w:val="57411925"/>
    <w:rsid w:val="57441E32"/>
    <w:rsid w:val="57535542"/>
    <w:rsid w:val="575B3098"/>
    <w:rsid w:val="57A14CB5"/>
    <w:rsid w:val="57F55B90"/>
    <w:rsid w:val="580F191D"/>
    <w:rsid w:val="58276F84"/>
    <w:rsid w:val="582C648F"/>
    <w:rsid w:val="58584813"/>
    <w:rsid w:val="58B728A2"/>
    <w:rsid w:val="58B868EB"/>
    <w:rsid w:val="58CD6892"/>
    <w:rsid w:val="58CE1CB7"/>
    <w:rsid w:val="58D46744"/>
    <w:rsid w:val="58EE7231"/>
    <w:rsid w:val="590D059A"/>
    <w:rsid w:val="59161F0B"/>
    <w:rsid w:val="592802C2"/>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F377C8"/>
    <w:rsid w:val="5AF525A3"/>
    <w:rsid w:val="5AF97A41"/>
    <w:rsid w:val="5B0449BC"/>
    <w:rsid w:val="5B513157"/>
    <w:rsid w:val="5B517209"/>
    <w:rsid w:val="5B544EB3"/>
    <w:rsid w:val="5B6A33DD"/>
    <w:rsid w:val="5B7C5AEB"/>
    <w:rsid w:val="5BA75CC0"/>
    <w:rsid w:val="5BF04FFA"/>
    <w:rsid w:val="5C241AEE"/>
    <w:rsid w:val="5C3E68F1"/>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74258"/>
    <w:rsid w:val="5F291E1B"/>
    <w:rsid w:val="5F3162C0"/>
    <w:rsid w:val="5F551AC0"/>
    <w:rsid w:val="5F616E2A"/>
    <w:rsid w:val="5FA5181E"/>
    <w:rsid w:val="5FCC65B3"/>
    <w:rsid w:val="5FE015B4"/>
    <w:rsid w:val="6018182B"/>
    <w:rsid w:val="601E0F43"/>
    <w:rsid w:val="60250281"/>
    <w:rsid w:val="604E6EEE"/>
    <w:rsid w:val="60596F8D"/>
    <w:rsid w:val="608075E1"/>
    <w:rsid w:val="60E47C4C"/>
    <w:rsid w:val="61326FB1"/>
    <w:rsid w:val="61384C31"/>
    <w:rsid w:val="6151193F"/>
    <w:rsid w:val="61857CB5"/>
    <w:rsid w:val="61A537D2"/>
    <w:rsid w:val="61E77A7E"/>
    <w:rsid w:val="622A4138"/>
    <w:rsid w:val="62385483"/>
    <w:rsid w:val="62385A6C"/>
    <w:rsid w:val="625901DA"/>
    <w:rsid w:val="62876D77"/>
    <w:rsid w:val="62CA4AF4"/>
    <w:rsid w:val="62E4371E"/>
    <w:rsid w:val="62FD1DFD"/>
    <w:rsid w:val="63153C43"/>
    <w:rsid w:val="632045D1"/>
    <w:rsid w:val="632C13B4"/>
    <w:rsid w:val="6342544F"/>
    <w:rsid w:val="63720424"/>
    <w:rsid w:val="63A31ABC"/>
    <w:rsid w:val="63C65078"/>
    <w:rsid w:val="63EA156F"/>
    <w:rsid w:val="63EA6D88"/>
    <w:rsid w:val="64106CE7"/>
    <w:rsid w:val="64471AFC"/>
    <w:rsid w:val="64621F9C"/>
    <w:rsid w:val="64A41F12"/>
    <w:rsid w:val="64A537DD"/>
    <w:rsid w:val="64B51DAE"/>
    <w:rsid w:val="64B96E85"/>
    <w:rsid w:val="64BB6795"/>
    <w:rsid w:val="64D069A0"/>
    <w:rsid w:val="64F27E75"/>
    <w:rsid w:val="65067C78"/>
    <w:rsid w:val="65305A43"/>
    <w:rsid w:val="6542498D"/>
    <w:rsid w:val="655D358A"/>
    <w:rsid w:val="65600ACC"/>
    <w:rsid w:val="65662197"/>
    <w:rsid w:val="65704B24"/>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494570"/>
    <w:rsid w:val="68B54AF7"/>
    <w:rsid w:val="68BB527D"/>
    <w:rsid w:val="68C96D98"/>
    <w:rsid w:val="68CA009F"/>
    <w:rsid w:val="68D402C9"/>
    <w:rsid w:val="68D670D7"/>
    <w:rsid w:val="68E43EF4"/>
    <w:rsid w:val="695B5920"/>
    <w:rsid w:val="696D3E06"/>
    <w:rsid w:val="69B35A0D"/>
    <w:rsid w:val="69CA05FB"/>
    <w:rsid w:val="69CC607C"/>
    <w:rsid w:val="69EA1163"/>
    <w:rsid w:val="69F96768"/>
    <w:rsid w:val="6A287F98"/>
    <w:rsid w:val="6A657B3D"/>
    <w:rsid w:val="6AB40496"/>
    <w:rsid w:val="6ABD1D5E"/>
    <w:rsid w:val="6AC0289E"/>
    <w:rsid w:val="6AF33939"/>
    <w:rsid w:val="6B0F60AF"/>
    <w:rsid w:val="6B795D62"/>
    <w:rsid w:val="6B894EA4"/>
    <w:rsid w:val="6B9F34F9"/>
    <w:rsid w:val="6BC747F5"/>
    <w:rsid w:val="6BD35CE4"/>
    <w:rsid w:val="6BD82AE5"/>
    <w:rsid w:val="6BF66D35"/>
    <w:rsid w:val="6C1272FC"/>
    <w:rsid w:val="6C3014BE"/>
    <w:rsid w:val="6C5D414F"/>
    <w:rsid w:val="6C77423E"/>
    <w:rsid w:val="6C943419"/>
    <w:rsid w:val="6C9C2F85"/>
    <w:rsid w:val="6CDE17FD"/>
    <w:rsid w:val="6CF21452"/>
    <w:rsid w:val="6D1D2C91"/>
    <w:rsid w:val="6D232D3C"/>
    <w:rsid w:val="6D2F5D1E"/>
    <w:rsid w:val="6D5B4A2E"/>
    <w:rsid w:val="6D792112"/>
    <w:rsid w:val="6DA004EB"/>
    <w:rsid w:val="6DE309B5"/>
    <w:rsid w:val="6DFA17F1"/>
    <w:rsid w:val="6E641038"/>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946EC"/>
    <w:rsid w:val="70BA6131"/>
    <w:rsid w:val="71180D95"/>
    <w:rsid w:val="71B20425"/>
    <w:rsid w:val="724D262A"/>
    <w:rsid w:val="72702455"/>
    <w:rsid w:val="728F2E47"/>
    <w:rsid w:val="72973011"/>
    <w:rsid w:val="72A24472"/>
    <w:rsid w:val="72CD6505"/>
    <w:rsid w:val="72E42D1B"/>
    <w:rsid w:val="730C52E1"/>
    <w:rsid w:val="734F0911"/>
    <w:rsid w:val="736054C4"/>
    <w:rsid w:val="736B3914"/>
    <w:rsid w:val="736C572D"/>
    <w:rsid w:val="7380456B"/>
    <w:rsid w:val="7386292E"/>
    <w:rsid w:val="73A422EB"/>
    <w:rsid w:val="73C80EF6"/>
    <w:rsid w:val="74103E55"/>
    <w:rsid w:val="74456E15"/>
    <w:rsid w:val="745B622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C822A2"/>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E208A3"/>
    <w:rsid w:val="7E0A78B3"/>
    <w:rsid w:val="7E2912F3"/>
    <w:rsid w:val="7E6305EF"/>
    <w:rsid w:val="7E8D50F9"/>
    <w:rsid w:val="7EDA5201"/>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333333"/>
      <w:u w:val="none"/>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三级条标题"/>
    <w:basedOn w:val="18"/>
    <w:next w:val="16"/>
    <w:qFormat/>
    <w:uiPriority w:val="0"/>
    <w:pPr>
      <w:numPr>
        <w:ilvl w:val="4"/>
      </w:numPr>
      <w:outlineLvl w:val="4"/>
    </w:pPr>
  </w:style>
  <w:style w:type="paragraph" w:customStyle="1" w:styleId="18">
    <w:name w:val="二级条标题"/>
    <w:basedOn w:val="19"/>
    <w:next w:val="16"/>
    <w:qFormat/>
    <w:uiPriority w:val="0"/>
    <w:pPr>
      <w:numPr>
        <w:ilvl w:val="3"/>
      </w:numPr>
      <w:outlineLvl w:val="3"/>
    </w:pPr>
  </w:style>
  <w:style w:type="paragraph" w:customStyle="1" w:styleId="19">
    <w:name w:val="一级条标题"/>
    <w:next w:val="16"/>
    <w:qFormat/>
    <w:uiPriority w:val="0"/>
    <w:pPr>
      <w:numPr>
        <w:ilvl w:val="2"/>
        <w:numId w:val="1"/>
      </w:numPr>
      <w:outlineLvl w:val="2"/>
    </w:pPr>
    <w:rPr>
      <w:rFonts w:ascii="Times New Roman" w:hAnsi="Times New Roman" w:eastAsia="黑体" w:cs="Times New Roman"/>
      <w:sz w:val="21"/>
      <w:lang w:val="en-US" w:eastAsia="zh-CN" w:bidi="ar-SA"/>
    </w:rPr>
  </w:style>
  <w:style w:type="paragraph" w:styleId="20">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1234</Words>
  <Characters>7034</Characters>
  <Lines>58</Lines>
  <Paragraphs>16</Paragraphs>
  <TotalTime>1</TotalTime>
  <ScaleCrop>false</ScaleCrop>
  <LinksUpToDate>false</LinksUpToDate>
  <CharactersWithSpaces>8252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2021-07-10T17:58:12Z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DE1C6AE3CD17486486DE10736101A77F</vt:lpwstr>
  </property>
</Properties>
</file>