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设计部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江晨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张磊  朱恒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-26-27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O</w:t>
            </w:r>
            <w:r>
              <w:rPr>
                <w:rFonts w:cs="Arial"/>
                <w:bCs/>
                <w:color w:val="auto"/>
                <w:szCs w:val="21"/>
              </w:rPr>
              <w:t>6.1.2</w:t>
            </w:r>
            <w:r>
              <w:rPr>
                <w:rFonts w:hint="eastAsia" w:cs="Arial"/>
                <w:bCs/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6.2/8.1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8.1.3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如：手册第6.1.2条款、《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危险源识别、风险评价控制程序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</w:t>
            </w:r>
            <w:r>
              <w:rPr>
                <w:rFonts w:hint="eastAsia"/>
                <w:b/>
                <w:bCs/>
                <w:color w:val="auto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</w:rPr>
              <w:t>措施是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9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8"/>
              <w:gridCol w:w="371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主要危险源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状态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火灾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日常检查供电线路是否老化，安全用电，工作场所禁止火种，加强人员培训，做好消防应急演练</w:t>
                  </w: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交通事故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管理方案/目标指标及管理措施方案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/>
                    </w:rPr>
                    <w:t>综合办公室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如：管理手册、附录《</w:t>
            </w:r>
            <w:r>
              <w:rPr>
                <w:rFonts w:hint="eastAsia"/>
                <w:color w:val="auto"/>
                <w:szCs w:val="21"/>
              </w:rPr>
              <w:t>职业健康安全目标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目标而建立的各层级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目标具体、有针对性、可测量并且可实现。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火灾事故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人身伤害事故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如《</w:t>
            </w:r>
            <w:r>
              <w:rPr>
                <w:rFonts w:hint="eastAsia"/>
                <w:color w:val="auto"/>
                <w:sz w:val="24"/>
                <w:szCs w:val="24"/>
              </w:rPr>
              <w:t>运行过程控制程序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在多雇主的工作场所，组织应与其他组织协调职业健康安全管理体系的相关部分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</w:rPr>
                    <w:t>□充分 □不充分</w:t>
                  </w:r>
                </w:p>
              </w:tc>
            </w:tr>
          </w:tbl>
          <w:p/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rFonts w:hint="eastAsia"/>
                <w:szCs w:val="21"/>
                <w:lang w:val="en-US" w:eastAsia="zh-CN"/>
              </w:rPr>
              <w:t>配有药品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噪声：安装净化装置使用了橡胶垫；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■危险化学品的使用：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■消防：只有消防栓、灭火器（干粉、水基）；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现场观察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相关文件制度基本齐全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《应急预案与响应控制程序》、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《火灾、触电应急预案》、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危化品泄漏</w:t>
            </w:r>
            <w:r>
              <w:rPr>
                <w:rFonts w:hint="eastAsia"/>
                <w:color w:val="auto"/>
              </w:rPr>
              <w:t>应急预案》……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2021年3月15日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2509"/>
    <w:rsid w:val="000E6B21"/>
    <w:rsid w:val="00183D5C"/>
    <w:rsid w:val="001A2D7F"/>
    <w:rsid w:val="002939AD"/>
    <w:rsid w:val="00314AF6"/>
    <w:rsid w:val="00337922"/>
    <w:rsid w:val="00340867"/>
    <w:rsid w:val="00341FEC"/>
    <w:rsid w:val="00365206"/>
    <w:rsid w:val="00380837"/>
    <w:rsid w:val="003A198A"/>
    <w:rsid w:val="00410914"/>
    <w:rsid w:val="004177C7"/>
    <w:rsid w:val="0048201E"/>
    <w:rsid w:val="00536930"/>
    <w:rsid w:val="00542B45"/>
    <w:rsid w:val="005465FE"/>
    <w:rsid w:val="00556F28"/>
    <w:rsid w:val="00564E53"/>
    <w:rsid w:val="005D5659"/>
    <w:rsid w:val="00600C20"/>
    <w:rsid w:val="006117B3"/>
    <w:rsid w:val="0061454F"/>
    <w:rsid w:val="00644FE2"/>
    <w:rsid w:val="0067640C"/>
    <w:rsid w:val="006E678B"/>
    <w:rsid w:val="006E7B1D"/>
    <w:rsid w:val="007757F3"/>
    <w:rsid w:val="007C1B48"/>
    <w:rsid w:val="007D138F"/>
    <w:rsid w:val="007E3B15"/>
    <w:rsid w:val="007E6AEB"/>
    <w:rsid w:val="008973EE"/>
    <w:rsid w:val="00910B2E"/>
    <w:rsid w:val="009414D1"/>
    <w:rsid w:val="00971600"/>
    <w:rsid w:val="009973B4"/>
    <w:rsid w:val="009B06C2"/>
    <w:rsid w:val="009C28C1"/>
    <w:rsid w:val="009F7EED"/>
    <w:rsid w:val="00A213A0"/>
    <w:rsid w:val="00A34316"/>
    <w:rsid w:val="00A80636"/>
    <w:rsid w:val="00AF0AAB"/>
    <w:rsid w:val="00B445A8"/>
    <w:rsid w:val="00BF597E"/>
    <w:rsid w:val="00C50D1A"/>
    <w:rsid w:val="00C51A36"/>
    <w:rsid w:val="00C55228"/>
    <w:rsid w:val="00C63768"/>
    <w:rsid w:val="00C73C24"/>
    <w:rsid w:val="00CE315A"/>
    <w:rsid w:val="00D06F59"/>
    <w:rsid w:val="00D23E59"/>
    <w:rsid w:val="00D75334"/>
    <w:rsid w:val="00D8388C"/>
    <w:rsid w:val="00E339C8"/>
    <w:rsid w:val="00E6224C"/>
    <w:rsid w:val="00E86A01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B64C88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D46CFB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7F329FB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66F0"/>
    <w:rsid w:val="182F6C71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357EF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221889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8C6D23"/>
    <w:rsid w:val="2BA00560"/>
    <w:rsid w:val="2BD3653F"/>
    <w:rsid w:val="2BD60481"/>
    <w:rsid w:val="2BEA3FA7"/>
    <w:rsid w:val="2C2E44D4"/>
    <w:rsid w:val="2C7B6C71"/>
    <w:rsid w:val="2CE67CB5"/>
    <w:rsid w:val="2CFB57F1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876968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022C9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B28F9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352F2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3C6907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4F67BC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14F18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A05F94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D027B3"/>
    <w:rsid w:val="60E47C4C"/>
    <w:rsid w:val="61017B9D"/>
    <w:rsid w:val="61326FB1"/>
    <w:rsid w:val="61384C31"/>
    <w:rsid w:val="6151193F"/>
    <w:rsid w:val="61857CB5"/>
    <w:rsid w:val="61E77A7E"/>
    <w:rsid w:val="622A4138"/>
    <w:rsid w:val="62344505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04880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763028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1223</Words>
  <Characters>6972</Characters>
  <Lines>58</Lines>
  <Paragraphs>16</Paragraphs>
  <TotalTime>1</TotalTime>
  <ScaleCrop>false</ScaleCrop>
  <LinksUpToDate>false</LinksUpToDate>
  <CharactersWithSpaces>8179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2021-07-10T18:06:25Z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CD59AAD22CE54819898A80AE7284F626</vt:lpwstr>
  </property>
</Properties>
</file>