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   8:00-9:00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ISO50001：2018标准4.2条款 “法律法规”的内容。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4.2 理解相关方的需求和期望  组织应确定： a）与能源绩效和EnMS有关的相关方；b）这些相关方的相关要求；c）识别的需求和期望中哪些需要组织通过EnMS处理。 组织应： — 确保具有获得与能源效率、能源使用和能源消耗有关的适用的法律法规要求和其他要求的渠道； — 确定这些要求如何适用于它的能源效率、能源使用和能源消耗； — 确保这些要求得到考虑； — 按规定的间隔评审它的法律法规要求和其他要求。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邵香玲</w:t>
            </w:r>
            <w:bookmarkStart w:id="0" w:name="_GoBack"/>
            <w:bookmarkEnd w:id="0"/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了解ISO50001-2018标准4.2条款法律法规知识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陆敏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2021.7.9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484E6BEE"/>
    <w:rsid w:val="51241391"/>
    <w:rsid w:val="6EFE430C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2021-07-08T07:38:38Z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ED69A369A03A4BA9B8D8656B04BDB081</vt:lpwstr>
  </property>
</Properties>
</file>