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管理层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陆敏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李天风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2021.7.5-2021.7.5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>91320411137327370H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 xml:space="preserve">1998-10-05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至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>干燥设备、制药机械、化工机械、压力容器制造、安装；机械零部件加工；自营和代理各类商品及技术的进出口业务。专用设备制造（不含许可类专业设备制造）；（依法须经批准的项目，经相关部门批准后方可开展经营活动）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>)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0" w:name="审核范围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“范干”牌干燥设备的研发和生产相关的能源管理活动</w:t>
            </w:r>
            <w:bookmarkEnd w:id="0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常州市新北区国家环保产业园环保一路9号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1" w:name="生产地址"/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常州市新北区国家环保产业园环保一路9号</w:t>
            </w:r>
            <w:bookmarkEnd w:id="1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原材料采购检验→下料→焊接→金加工→检验→装配→入库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认证范围内管理体系覆盖的人数（总计</w:t>
            </w:r>
            <w:r>
              <w:rPr>
                <w:rFonts w:hint="eastAsia"/>
                <w:lang w:val="en-US" w:eastAsia="zh-CN"/>
              </w:rPr>
              <w:t>83</w:t>
            </w:r>
            <w:r>
              <w:rPr>
                <w:rFonts w:hint="eastAsia"/>
              </w:rPr>
              <w:t>人）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备注：企业总人数为230人，能源管理体系覆盖人数83人</w:t>
            </w:r>
            <w:r>
              <w:rPr>
                <w:rFonts w:hint="eastAsia"/>
                <w:lang w:eastAsia="zh-CN"/>
              </w:rPr>
              <w:t>）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人；操作人员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64</w:t>
            </w:r>
            <w:r>
              <w:t xml:space="preserve"> </w:t>
            </w:r>
            <w:r>
              <w:rPr>
                <w:rFonts w:hint="eastAsia"/>
              </w:rPr>
              <w:t>人；劳务派遣人员</w:t>
            </w:r>
            <w:r>
              <w:t xml:space="preserve">    </w:t>
            </w:r>
            <w:r>
              <w:rPr>
                <w:rFonts w:hint="eastAsia"/>
              </w:rPr>
              <w:t xml:space="preserve"> 人；临时工</w:t>
            </w:r>
            <w:r>
              <w:t xml:space="preserve">    </w:t>
            </w:r>
            <w:r>
              <w:rPr>
                <w:rFonts w:hint="eastAsia"/>
              </w:rPr>
              <w:t xml:space="preserve"> 人；季节工</w:t>
            </w:r>
            <w:r>
              <w:t xml:space="preserve">    </w:t>
            </w:r>
            <w:r>
              <w:rPr>
                <w:rFonts w:hint="eastAsia"/>
              </w:rPr>
              <w:t xml:space="preserve"> 人；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总经理1人、管理者代表1人、企管部5人、车间管理人员12人、电焊工19人，电工5人、安装人员16人 采购人员8人、设计人员6人、设备部8、财务2人、）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u w:val="none"/>
              </w:rPr>
              <w:t xml:space="preserve"> 确定外部提供过程、产品和服务（外包过程）：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钢材、焊丝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35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遵守法规  清洁生产  创新改造  提高能效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eastAsia="zh-CN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4"/>
              <w:gridCol w:w="1950"/>
              <w:gridCol w:w="2212"/>
              <w:gridCol w:w="31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9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221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31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highlight w:val="yellow"/>
                      <w:lang w:val="en-US" w:eastAsia="zh-CN"/>
                    </w:rPr>
                    <w:t>1713.76kgce/台</w:t>
                  </w:r>
                </w:p>
              </w:tc>
              <w:tc>
                <w:tcPr>
                  <w:tcW w:w="195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  <w:t>每年考核一次</w:t>
                  </w:r>
                </w:p>
              </w:tc>
              <w:tc>
                <w:tcPr>
                  <w:tcW w:w="221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年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耗能量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/年产量（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台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）</w:t>
                  </w:r>
                </w:p>
              </w:tc>
              <w:tc>
                <w:tcPr>
                  <w:tcW w:w="3137" w:type="dxa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0"/>
                      <w:szCs w:val="22"/>
                      <w:lang w:val="en-US" w:eastAsia="zh-CN" w:bidi="ar-SA"/>
                    </w:rPr>
                    <w:t>1643.12kgce/台</w:t>
                  </w:r>
                </w:p>
                <w:p>
                  <w:pPr>
                    <w:pStyle w:val="2"/>
                    <w:rPr>
                      <w:rFonts w:hint="default"/>
                      <w:color w:val="auto"/>
                      <w:lang w:val="en-US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  <w:t>完成目标，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2021年0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15-16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bookmarkStart w:id="3" w:name="_GoBack"/>
            <w:bookmarkEnd w:id="3"/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</w:t>
            </w:r>
            <w:r>
              <w:rPr>
                <w:rFonts w:hint="eastAsia"/>
                <w:color w:val="FF0000"/>
                <w:szCs w:val="18"/>
              </w:rPr>
              <w:t>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节能评估报告》编号：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cs="Times New Roman"/>
                <w:color w:val="FF0000"/>
                <w:szCs w:val="18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default" w:eastAsia="宋体"/>
                <w:color w:val="FF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同意项目通过审查。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</w:t>
            </w:r>
            <w:r>
              <w:rPr>
                <w:rFonts w:hint="eastAsia"/>
                <w:highlight w:val="none"/>
                <w:lang w:val="en-US" w:eastAsia="zh-CN"/>
              </w:rPr>
              <w:t>评审</w:t>
            </w:r>
            <w:r>
              <w:rPr>
                <w:rFonts w:hint="eastAsia"/>
                <w:highlight w:val="none"/>
              </w:rPr>
              <w:t>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告》编号：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FQNYPS-2021-01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2021年 5 月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近一年是否进行了技术改进？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szCs w:val="18"/>
              </w:rPr>
              <w:t>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用能单位        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主要次级用能单位</w:t>
            </w:r>
            <w:r>
              <w:rPr>
                <w:rFonts w:hint="eastAsia"/>
                <w:color w:val="auto"/>
                <w:szCs w:val="18"/>
              </w:rPr>
              <w:t xml:space="preserve">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主要用能设备        配备率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电表和水表由供应机构负责检定/校准。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2C57CD"/>
    <w:rsid w:val="05A97751"/>
    <w:rsid w:val="061D3B47"/>
    <w:rsid w:val="07687D49"/>
    <w:rsid w:val="089D2465"/>
    <w:rsid w:val="093D63C6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0E7E91"/>
    <w:rsid w:val="131B209B"/>
    <w:rsid w:val="13890C34"/>
    <w:rsid w:val="13E82B63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380519"/>
    <w:rsid w:val="1C5A0E97"/>
    <w:rsid w:val="1C633876"/>
    <w:rsid w:val="1CB32766"/>
    <w:rsid w:val="1D811AD4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DF6E28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9D74449"/>
    <w:rsid w:val="3A242819"/>
    <w:rsid w:val="3AC608CB"/>
    <w:rsid w:val="3B7B49E9"/>
    <w:rsid w:val="3BBB3FFC"/>
    <w:rsid w:val="3BE22D59"/>
    <w:rsid w:val="3C4A64C8"/>
    <w:rsid w:val="3D095854"/>
    <w:rsid w:val="3D1E51E8"/>
    <w:rsid w:val="3D207B84"/>
    <w:rsid w:val="3D4A1740"/>
    <w:rsid w:val="3D662E26"/>
    <w:rsid w:val="3EBF4EFB"/>
    <w:rsid w:val="40A40502"/>
    <w:rsid w:val="40D80BB8"/>
    <w:rsid w:val="40D92CA7"/>
    <w:rsid w:val="413D1451"/>
    <w:rsid w:val="42D3718C"/>
    <w:rsid w:val="42E55256"/>
    <w:rsid w:val="44E8380F"/>
    <w:rsid w:val="44FC1CFD"/>
    <w:rsid w:val="458A3894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17F0B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1B7C8F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BA497E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0D5967"/>
    <w:rsid w:val="6A35028E"/>
    <w:rsid w:val="6A4D59DC"/>
    <w:rsid w:val="6A666DEF"/>
    <w:rsid w:val="6A7E2167"/>
    <w:rsid w:val="6AF11F23"/>
    <w:rsid w:val="6BC3715D"/>
    <w:rsid w:val="6C665B72"/>
    <w:rsid w:val="6C6953E9"/>
    <w:rsid w:val="6C7B045A"/>
    <w:rsid w:val="6CAF4B0F"/>
    <w:rsid w:val="6CB05831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4234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9</TotalTime>
  <ScaleCrop>false</ScaleCrop>
  <LinksUpToDate>false</LinksUpToDate>
  <CharactersWithSpaces>18121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2021-07-11T03:02:22Z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F022D71CE2FB43DDAF701D8118C0D84B</vt:lpwstr>
  </property>
</Properties>
</file>