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重庆川流机械有限公司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重庆市沙坪坝区新桥石梯沟28号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王本乔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023-86919745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王本乔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0167-2019-Q-2021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液压润滑系统零部件的设计、生产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bookmarkStart w:id="19" w:name="_GoBack"/>
            <w:bookmarkEnd w:id="19"/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485"/>
              <w:gridCol w:w="1916"/>
              <w:gridCol w:w="7920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401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920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401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9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485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月</w:t>
                  </w:r>
                </w:p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26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8：00-8：30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首次会议（张心）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472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16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8：30-12：00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张心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      </w: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spacing w:line="300" w:lineRule="exact"/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16" w:type="dxa"/>
                  <w:vMerge w:val="continue"/>
                  <w:tcBorders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7.1.3基础设施；7.1.4过程运行环境；7.1.6组织知识；7.2能力；7.3意识；7.4沟通；7.5文件化信息；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16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供销部:张心</w:t>
                  </w:r>
                </w:p>
                <w:p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5.3组织的角色、职责和权限；6.2质量目标及其实现的策划；8.4外部提供过程、产品和服务的控制；8.5.3顾客或外部供方的财产；8.5.5交付后的活动；</w:t>
                  </w:r>
                </w:p>
                <w:p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9.1.2顾客满意；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:00-1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:00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16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13:00-1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生产部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张心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5.3组织的角色、职责和权限；6.2质量目标及其实现的策划 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8.5.1生产和服务提供的控制；8.5.2标识和可追溯性；8.5.4防护8.5.6更改控制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部：张心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宋体" w:hAnsi="宋体" w:eastAsia="宋体" w:cs="新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9.1.1监测、分析和评价总则；10.2不合格和纠正措施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宋体" w:hAnsi="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485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16：30-17：00</w:t>
                  </w:r>
                </w:p>
              </w:tc>
              <w:tc>
                <w:tcPr>
                  <w:tcW w:w="7920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2A0130"/>
    <w:rsid w:val="2D220DC5"/>
    <w:rsid w:val="3F0F0A16"/>
    <w:rsid w:val="58576DAA"/>
    <w:rsid w:val="7C333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2021-06-26T05:58:01Z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66F54DB63EC648E982F831D3BA71104A</vt:lpwstr>
  </property>
</Properties>
</file>