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98"/>
        <w:gridCol w:w="1455"/>
        <w:gridCol w:w="6"/>
        <w:gridCol w:w="567"/>
        <w:gridCol w:w="1082"/>
        <w:gridCol w:w="160"/>
        <w:gridCol w:w="75"/>
        <w:gridCol w:w="690"/>
        <w:gridCol w:w="261"/>
        <w:gridCol w:w="334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四川良翔健康管理服务有限公司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四川省金堂县赵镇米家巷213号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4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91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文仁发</w:t>
            </w:r>
          </w:p>
        </w:tc>
        <w:tc>
          <w:tcPr>
            <w:tcW w:w="14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9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0563-2021-QO</w:t>
            </w:r>
            <w:bookmarkEnd w:id="8"/>
          </w:p>
        </w:tc>
        <w:tc>
          <w:tcPr>
            <w:tcW w:w="14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Q：病人陪护服务（不含诊疗）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O：病人陪护服务（不含诊疗）所涉及场所的相关职业健康安全管理活动</w:t>
            </w:r>
            <w:bookmarkEnd w:id="13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Q：38.04.00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O：38.04.00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2021年06月23日 上午至2021年06月23日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焦渝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ind w:firstLine="200" w:firstLineChars="100"/>
              <w:jc w:val="both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Q:38.04.00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O:38.04.00</w:t>
            </w:r>
          </w:p>
        </w:tc>
        <w:tc>
          <w:tcPr>
            <w:tcW w:w="15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15708205185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2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8890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935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35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2021.6.20</w:t>
            </w:r>
          </w:p>
        </w:tc>
        <w:tc>
          <w:tcPr>
            <w:tcW w:w="108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35" w:type="dxa"/>
            <w:gridSpan w:val="6"/>
            <w:vAlign w:val="center"/>
          </w:tcPr>
          <w:p/>
        </w:tc>
      </w:tr>
    </w:tbl>
    <w:p>
      <w:pPr>
        <w:snapToGrid w:val="0"/>
        <w:spacing w:before="163"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宋明珠、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焦渝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证书使用情况、上一年审核不符合验证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 8.2产品和服务的要求；8.4外部提供供方的控制；9.1.2顾客满意；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焦渝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/权限；6.2质量目标及其实现的策划；7.1.3基础设施；7.1.4过程运行环境；7.1.5监视和测量设备；8.1运行策划和控制；8.3设计开发控制；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焦渝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焦渝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宋明珠、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焦渝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宋明珠、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焦渝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06570B"/>
    <w:rsid w:val="38721E3A"/>
    <w:rsid w:val="40DB04C7"/>
    <w:rsid w:val="55E86535"/>
    <w:rsid w:val="7CD821D0"/>
    <w:rsid w:val="7F090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24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2021-06-23T07:33:41Z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31147D4FB7C74AA2B4B3AB32F1F2FCD1</vt:lpwstr>
  </property>
</Properties>
</file>