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成都恪赛科技有限公司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58"/>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01" w:type="dxa"/>
            <w:gridSpan w:val="3"/>
            <w:vAlign w:val="center"/>
          </w:tcPr>
          <w:p>
            <w:pPr>
              <w:jc w:val="center"/>
              <w:rPr>
                <w:b/>
                <w:sz w:val="21"/>
                <w:szCs w:val="21"/>
              </w:rPr>
            </w:pPr>
            <w:r>
              <w:rPr>
                <w:rFonts w:hint="eastAsia"/>
                <w:b/>
                <w:sz w:val="21"/>
                <w:szCs w:val="21"/>
              </w:rPr>
              <w:t>专业代码</w:t>
            </w:r>
          </w:p>
        </w:tc>
        <w:tc>
          <w:tcPr>
            <w:tcW w:w="1556"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901" w:type="dxa"/>
            <w:gridSpan w:val="3"/>
            <w:vAlign w:val="center"/>
          </w:tcPr>
          <w:p>
            <w:pPr>
              <w:jc w:val="center"/>
              <w:rPr>
                <w:b/>
                <w:sz w:val="21"/>
                <w:szCs w:val="21"/>
              </w:rPr>
            </w:pPr>
            <w:r>
              <w:rPr>
                <w:b/>
                <w:sz w:val="21"/>
                <w:szCs w:val="21"/>
              </w:rPr>
              <w:t>19.03.00,34.05.00</w:t>
            </w:r>
          </w:p>
        </w:tc>
        <w:tc>
          <w:tcPr>
            <w:tcW w:w="1556"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01" w:type="dxa"/>
            <w:gridSpan w:val="3"/>
          </w:tcPr>
          <w:p>
            <w:pPr>
              <w:rPr>
                <w:b/>
                <w:sz w:val="21"/>
                <w:szCs w:val="21"/>
              </w:rPr>
            </w:pPr>
          </w:p>
        </w:tc>
        <w:tc>
          <w:tcPr>
            <w:tcW w:w="15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01" w:type="dxa"/>
            <w:gridSpan w:val="3"/>
          </w:tcPr>
          <w:p>
            <w:pPr>
              <w:rPr>
                <w:b/>
                <w:sz w:val="21"/>
                <w:szCs w:val="21"/>
              </w:rPr>
            </w:pPr>
          </w:p>
        </w:tc>
        <w:tc>
          <w:tcPr>
            <w:tcW w:w="15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01" w:type="dxa"/>
            <w:gridSpan w:val="3"/>
          </w:tcPr>
          <w:p>
            <w:pPr>
              <w:rPr>
                <w:b/>
                <w:sz w:val="21"/>
                <w:szCs w:val="21"/>
              </w:rPr>
            </w:pPr>
          </w:p>
        </w:tc>
        <w:tc>
          <w:tcPr>
            <w:tcW w:w="15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w:t>
      </w:r>
      <w:r>
        <w:rPr>
          <w:rFonts w:hint="eastAsia"/>
          <w:b/>
          <w:sz w:val="21"/>
          <w:szCs w:val="21"/>
          <w:lang w:val="en-US" w:eastAsia="zh-CN"/>
        </w:rPr>
        <w:t>监督2</w:t>
      </w:r>
      <w:r>
        <w:rPr>
          <w:rFonts w:hint="eastAsia"/>
          <w:b/>
          <w:sz w:val="21"/>
          <w:szCs w:val="21"/>
        </w:rPr>
        <w:t>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成都恪赛科技有限公司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中国(四川)自由贸易试验区成都高新区天府三街69号1栋9层903号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610730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成都高新区天虹路3号B幢4层</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610730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成都高新区天虹路3号B幢4层</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610730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王冬梅</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028-83185782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滕崴</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滕崴</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王冬梅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2021年06月25日 上午至2021年06月25日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eastAsia="宋体" w:cs="Times New Roman"/>
                <w:b/>
                <w:sz w:val="21"/>
                <w:szCs w:val="21"/>
              </w:rPr>
              <w:t>通信天线、相控阵天线的研发和生产</w:t>
            </w:r>
            <w:bookmarkEnd w:id="25"/>
            <w:r>
              <w:rPr>
                <w:rFonts w:hint="eastAsia" w:ascii="宋体" w:hAnsi="宋体" w:eastAsia="宋体" w:cs="Times New Roman"/>
                <w:b/>
                <w:sz w:val="21"/>
                <w:szCs w:val="21"/>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19.03.00;34.05.00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2022.07.08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2020.07.06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w:t>
      </w:r>
      <w:r>
        <w:rPr>
          <w:rFonts w:hint="eastAsia" w:ascii="宋体" w:hAnsi="宋体"/>
          <w:b/>
          <w:sz w:val="21"/>
          <w:szCs w:val="21"/>
          <w:lang w:val="en-US" w:eastAsia="zh-CN"/>
        </w:rPr>
        <w:t>的2020年07月06日至2021年06月25日。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rFonts w:hint="eastAsia"/>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80" w:lineRule="exact"/>
              <w:jc w:val="left"/>
              <w:rPr>
                <w:rFonts w:hint="eastAsia" w:ascii="宋体" w:hAnsi="宋体" w:cs="Times New Roman"/>
                <w:b/>
                <w:sz w:val="21"/>
                <w:szCs w:val="21"/>
              </w:rPr>
            </w:pPr>
            <w:r>
              <w:rPr>
                <w:rFonts w:hint="eastAsia" w:ascii="宋体" w:hAnsi="宋体" w:cs="Times New Roman"/>
                <w:b/>
                <w:sz w:val="21"/>
                <w:szCs w:val="21"/>
              </w:rPr>
              <w:t>管理方针：</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经营优质产品，提供完善服务，</w:t>
            </w:r>
          </w:p>
          <w:p>
            <w:pPr>
              <w:spacing w:line="240" w:lineRule="exact"/>
              <w:ind w:firstLine="400" w:firstLineChars="200"/>
              <w:rPr>
                <w:rFonts w:hint="eastAsia"/>
                <w:b/>
                <w:bCs/>
                <w:sz w:val="21"/>
                <w:szCs w:val="21"/>
                <w:lang w:val="en-US" w:eastAsia="zh-CN"/>
              </w:rPr>
            </w:pPr>
            <w:r>
              <w:rPr>
                <w:rFonts w:hint="eastAsia" w:ascii="Times New Roman" w:hAnsi="Times New Roman" w:eastAsia="宋体" w:cs="Times New Roman"/>
                <w:b w:val="0"/>
                <w:bCs/>
                <w:color w:val="000000" w:themeColor="text1"/>
                <w:sz w:val="20"/>
                <w:szCs w:val="20"/>
                <w:highlight w:val="none"/>
                <w:lang w:val="en-US" w:eastAsia="zh-CN"/>
              </w:rPr>
              <w:t>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00" w:firstLineChars="100"/>
              <w:rPr>
                <w:rFonts w:ascii="宋体" w:hAnsi="宋体"/>
                <w:color w:val="000000" w:themeColor="text1"/>
              </w:rPr>
            </w:pPr>
            <w:r>
              <w:rPr>
                <w:rFonts w:hint="eastAsia" w:ascii="Times New Roman" w:hAnsi="Times New Roman" w:eastAsia="宋体" w:cs="Times New Roman"/>
                <w:b w:val="0"/>
                <w:bCs/>
                <w:color w:val="000000" w:themeColor="text1"/>
                <w:sz w:val="20"/>
                <w:szCs w:val="20"/>
                <w:highlight w:val="none"/>
                <w:lang w:val="en-US" w:eastAsia="zh-CN"/>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cs="Times New Roman"/>
                <w:b/>
                <w:color w:val="000000" w:themeColor="text1"/>
                <w:sz w:val="20"/>
                <w:szCs w:val="20"/>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 xml:space="preserve"> </w:t>
            </w:r>
            <w:r>
              <w:rPr>
                <w:rFonts w:hint="eastAsia" w:ascii="宋体" w:hAnsi="宋体" w:cs="Times New Roman"/>
                <w:b/>
                <w:color w:val="000000" w:themeColor="text1"/>
                <w:sz w:val="20"/>
                <w:szCs w:val="20"/>
                <w:lang w:val="en-US" w:eastAsia="zh-CN"/>
              </w:rPr>
              <w:t xml:space="preserve"> </w:t>
            </w:r>
            <w:r>
              <w:rPr>
                <w:rFonts w:hint="eastAsia" w:ascii="Times New Roman" w:hAnsi="Times New Roman" w:eastAsia="宋体" w:cs="Times New Roman"/>
                <w:b w:val="0"/>
                <w:bCs/>
                <w:color w:val="000000" w:themeColor="text1"/>
                <w:sz w:val="20"/>
                <w:szCs w:val="20"/>
                <w:highlight w:val="none"/>
                <w:lang w:val="en-US" w:eastAsia="zh-CN"/>
              </w:rPr>
              <w:t xml:space="preserve">通信天线、相控阵天线的研发和生产 </w:t>
            </w:r>
          </w:p>
          <w:p>
            <w:pPr>
              <w:spacing w:line="0" w:lineRule="atLeast"/>
              <w:jc w:val="left"/>
              <w:rPr>
                <w:rFonts w:hint="eastAsia" w:ascii="宋体" w:hAnsi="宋体" w:cs="Times New Roman"/>
                <w:b/>
                <w:color w:val="000000" w:themeColor="text1"/>
                <w:sz w:val="20"/>
                <w:szCs w:val="20"/>
                <w:lang w:eastAsia="zh-CN"/>
              </w:rPr>
            </w:pPr>
            <w:r>
              <w:rPr>
                <w:rFonts w:hint="eastAsia" w:ascii="宋体" w:hAnsi="宋体" w:cs="Times New Roman"/>
                <w:b/>
                <w:color w:val="000000" w:themeColor="text1"/>
                <w:sz w:val="20"/>
                <w:szCs w:val="20"/>
              </w:rPr>
              <w:t>其中关键过程有：</w:t>
            </w:r>
            <w:r>
              <w:rPr>
                <w:rFonts w:hint="eastAsia" w:ascii="Times New Roman" w:hAnsi="Times New Roman" w:eastAsia="宋体" w:cs="Times New Roman"/>
                <w:b w:val="0"/>
                <w:bCs/>
                <w:color w:val="000000" w:themeColor="text1"/>
                <w:sz w:val="20"/>
                <w:szCs w:val="20"/>
                <w:highlight w:val="none"/>
                <w:lang w:val="en-US" w:eastAsia="zh-CN"/>
              </w:rPr>
              <w:t>研发过程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hAnsi="宋体" w:cs="Times New Roman"/>
                <w:b/>
                <w:color w:val="000000" w:themeColor="text1"/>
                <w:sz w:val="20"/>
                <w:szCs w:val="20"/>
                <w:lang w:val="en-US" w:eastAsia="zh-CN"/>
              </w:rPr>
              <w:t xml:space="preserve">： </w:t>
            </w:r>
            <w:r>
              <w:rPr>
                <w:rFonts w:hint="eastAsia" w:ascii="Times New Roman" w:hAnsi="Times New Roman" w:eastAsia="宋体" w:cs="Times New Roman"/>
                <w:b w:val="0"/>
                <w:bCs/>
                <w:color w:val="000000" w:themeColor="text1"/>
                <w:sz w:val="20"/>
                <w:szCs w:val="20"/>
                <w:highlight w:val="none"/>
                <w:lang w:val="en-US" w:eastAsia="zh-CN"/>
              </w:rPr>
              <w:t>研发过程、焊接过程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 xml:space="preserve">外包过程： </w:t>
            </w:r>
            <w:r>
              <w:rPr>
                <w:rFonts w:hint="eastAsia" w:ascii="宋体" w:hAnsi="宋体" w:eastAsia="宋体" w:cs="Times New Roman"/>
                <w:b/>
                <w:color w:val="000000" w:themeColor="text1"/>
                <w:sz w:val="20"/>
                <w:szCs w:val="20"/>
                <w:lang w:val="en-US" w:eastAsia="zh-CN"/>
              </w:rPr>
              <w:t xml:space="preserve"> </w:t>
            </w:r>
            <w:r>
              <w:rPr>
                <w:rFonts w:hint="eastAsia" w:ascii="Times New Roman" w:hAnsi="Times New Roman" w:eastAsia="宋体" w:cs="Times New Roman"/>
                <w:b w:val="0"/>
                <w:bCs/>
                <w:color w:val="000000" w:themeColor="text1"/>
                <w:sz w:val="20"/>
                <w:szCs w:val="20"/>
                <w:highlight w:val="none"/>
                <w:lang w:val="en-US" w:eastAsia="zh-CN"/>
              </w:rPr>
              <w:t>电镀过程（外包）、喷涂过程（外包）、贴片过程（外包）</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（在相关层次上建立可测量的目标，目标、方案的有效性，对质量目标的实现情况进行评价并叙述测量方法）</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质量目标：</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1、产品出厂一次交检合格率95%；</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2、客满意度90分以上；</w:t>
            </w:r>
          </w:p>
          <w:p>
            <w:pPr>
              <w:spacing w:line="240" w:lineRule="exact"/>
              <w:ind w:firstLine="400" w:firstLineChars="200"/>
              <w:rPr>
                <w:rFonts w:ascii="宋体" w:hAnsi="宋体"/>
                <w:b/>
                <w:color w:val="000000" w:themeColor="text1"/>
              </w:rPr>
            </w:pPr>
            <w:r>
              <w:rPr>
                <w:rFonts w:hint="eastAsia" w:ascii="Times New Roman" w:hAnsi="Times New Roman" w:eastAsia="宋体" w:cs="Times New Roman"/>
                <w:b w:val="0"/>
                <w:bCs/>
                <w:color w:val="000000" w:themeColor="text1"/>
                <w:sz w:val="20"/>
                <w:szCs w:val="20"/>
                <w:highlight w:val="none"/>
                <w:lang w:val="en-US" w:eastAsia="zh-CN"/>
              </w:rPr>
              <w:t>3、重大恶性质量事故次数为0。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公司按照申请认证的标准要求，建立并形成了文件化的质量管理体系文件，体系文件对管理体系各过程进行了识别确定、明确了各要素间的相互关系及其管控要求。公司范围更改后体系文件于2020年4月23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组织按管理体系需求配置了充足的人员、设施、监视和测量设备等资源，并建立维持了产品的生产及相关服务运行环境，可以维持管理体系的正常运行。</w:t>
            </w:r>
          </w:p>
          <w:p>
            <w:pPr>
              <w:spacing w:line="240" w:lineRule="exact"/>
              <w:ind w:firstLine="400" w:firstLineChars="200"/>
              <w:rPr>
                <w:rFonts w:ascii="宋体" w:hAnsi="宋体"/>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lang w:val="en-US" w:eastAsia="zh-CN"/>
              </w:rPr>
              <w:t>公司办公面积 2500 平方米；库房与生产场所分区。主要生产设备包括：电洛铁、微型台钻、超声波清洗机、干燥柜、电动螺丝刀等23台套，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lang w:val="en-US" w:eastAsia="zh-CN"/>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00" w:firstLineChars="200"/>
              <w:rPr>
                <w:rFonts w:ascii="宋体" w:hAnsi="宋体"/>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（包括针对组织宗旨，制定相关管理方针政策、确保方针为员工理解并在运营中实施，监视方针的实施并评审方针的适宜性）</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2"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b w:val="0"/>
                <w:bCs/>
                <w:color w:val="000000" w:themeColor="text1"/>
                <w:sz w:val="20"/>
                <w:szCs w:val="20"/>
                <w:highlight w:val="none"/>
                <w:lang w:val="en-US" w:eastAsia="zh-CN"/>
              </w:rPr>
              <w:t>在公司内部主要采用电话、会议、面谈等形式就与产品质量、服务有关问题及与质量管理体系有关问题进行沟通，未发生由于沟通不到位而影响工作的情况。</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内部沟通的效果：良好</w:t>
            </w:r>
          </w:p>
          <w:p>
            <w:pPr>
              <w:spacing w:line="240" w:lineRule="exact"/>
              <w:rPr>
                <w:rFonts w:ascii="楷体_GB2312" w:eastAsia="楷体_GB2312"/>
                <w:b/>
                <w:color w:val="000000" w:themeColor="text1"/>
                <w:sz w:val="20"/>
                <w:szCs w:val="20"/>
              </w:rPr>
            </w:pPr>
          </w:p>
          <w:p>
            <w:pPr>
              <w:spacing w:line="240" w:lineRule="exact"/>
              <w:ind w:firstLine="402"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b w:val="0"/>
                <w:bCs/>
                <w:color w:val="000000" w:themeColor="text1"/>
                <w:sz w:val="20"/>
                <w:szCs w:val="20"/>
                <w:highlight w:val="none"/>
                <w:lang w:val="en-US" w:eastAsia="zh-CN"/>
              </w:rPr>
              <w:t>采取顾客满意度调查方式了解顾客感受。</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(应说明相关证据)：</w:t>
            </w:r>
          </w:p>
          <w:p>
            <w:pPr>
              <w:spacing w:line="240" w:lineRule="exact"/>
              <w:rPr>
                <w:b/>
                <w:color w:val="000000" w:themeColor="text1"/>
                <w:sz w:val="20"/>
                <w:szCs w:val="20"/>
              </w:rPr>
            </w:pP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240" w:lineRule="exact"/>
              <w:ind w:firstLine="400" w:firstLineChars="200"/>
              <w:rPr>
                <w:rFonts w:hint="default"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相控阵天线分系统子阵模块环境试验报告</w:t>
            </w:r>
          </w:p>
          <w:p>
            <w:pPr>
              <w:spacing w:line="240" w:lineRule="exact"/>
              <w:ind w:firstLine="402" w:firstLineChars="200"/>
              <w:rPr>
                <w:rFonts w:hint="eastAsia" w:eastAsia="宋体"/>
                <w:b/>
                <w:color w:val="000000" w:themeColor="text1"/>
                <w:sz w:val="20"/>
                <w:szCs w:val="20"/>
                <w:highlight w:val="none"/>
                <w:lang w:val="en-US" w:eastAsia="zh-CN"/>
              </w:rPr>
            </w:pPr>
            <w:r>
              <w:rPr>
                <w:rFonts w:hint="eastAsia"/>
                <w:b/>
                <w:color w:val="000000" w:themeColor="text1"/>
                <w:sz w:val="20"/>
                <w:szCs w:val="20"/>
                <w:highlight w:val="none"/>
              </w:rPr>
              <w:t>（附相关证据）：</w:t>
            </w:r>
            <w:r>
              <w:rPr>
                <w:rFonts w:hint="eastAsia"/>
                <w:b/>
                <w:color w:val="000000" w:themeColor="text1"/>
                <w:sz w:val="20"/>
                <w:szCs w:val="20"/>
                <w:highlight w:val="none"/>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00" w:firstLineChars="25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lang w:val="en-US" w:eastAsia="zh-CN"/>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2021年1-5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00" w:firstLineChars="15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lang w:val="en-US" w:eastAsia="zh-CN"/>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3月实施，满意度评价91%，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highlight w:val="none"/>
              </w:rPr>
              <w:t>3. 内审（包括内审策划审核方案中</w:t>
            </w:r>
            <w:r>
              <w:rPr>
                <w:rFonts w:hint="eastAsia" w:ascii="Times New Roman" w:hAnsi="Times New Roman" w:eastAsia="宋体" w:cs="Times New Roman"/>
                <w:b/>
                <w:color w:val="000000" w:themeColor="text1"/>
                <w:sz w:val="20"/>
                <w:szCs w:val="20"/>
                <w:highlight w:val="none"/>
              </w:rPr>
              <w:t>考虑拟审核的过程和区域的状况和重要性）</w:t>
            </w:r>
          </w:p>
          <w:p>
            <w:pPr>
              <w:spacing w:line="240" w:lineRule="exact"/>
              <w:ind w:left="120" w:leftChars="50" w:firstLine="300" w:firstLineChars="150"/>
              <w:rPr>
                <w:rFonts w:hint="eastAsia" w:ascii="宋体" w:hAnsi="宋体" w:cs="宋体"/>
                <w:color w:val="000000"/>
                <w:szCs w:val="21"/>
                <w:highlight w:val="none"/>
              </w:rPr>
            </w:pPr>
            <w:r>
              <w:rPr>
                <w:rFonts w:hint="eastAsia" w:ascii="Times New Roman" w:hAnsi="Times New Roman" w:eastAsia="宋体" w:cs="Times New Roman"/>
                <w:b w:val="0"/>
                <w:bCs/>
                <w:color w:val="000000" w:themeColor="text1"/>
                <w:sz w:val="20"/>
                <w:szCs w:val="20"/>
                <w:highlight w:val="none"/>
                <w:lang w:val="en-US" w:eastAsia="zh-CN"/>
              </w:rPr>
              <w:t>建立有《内部审核控制程序》，规定了内审频次一年一次，内审时间：2021年3月9日，拟定了审核实施表，明确了内审范围，内审人员经培训合格上岗，能力满足要求，未出现审核本部门情况，内审不符合项1项， 涉及涉及综合部不符合标准7.5条款，查综合部未见2021年更新的法律法规文件，针对该不符合项，已及时采取纠正措施后，经内审员验证关闭。内审的有效性需要改善。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ind w:left="240" w:leftChars="100" w:firstLine="100" w:firstLineChars="50"/>
              <w:jc w:val="left"/>
              <w:rPr>
                <w:rFonts w:hint="eastAsia" w:ascii="宋体" w:hAnsi="宋体" w:cs="宋体"/>
                <w:szCs w:val="21"/>
                <w:highlight w:val="none"/>
              </w:rPr>
            </w:pPr>
            <w:r>
              <w:rPr>
                <w:rFonts w:hint="eastAsia" w:ascii="Times New Roman" w:hAnsi="Times New Roman" w:eastAsia="宋体" w:cs="Times New Roman"/>
                <w:b w:val="0"/>
                <w:bCs/>
                <w:color w:val="000000" w:themeColor="text1"/>
                <w:sz w:val="20"/>
                <w:szCs w:val="20"/>
                <w:highlight w:val="none"/>
                <w:lang w:val="en-US" w:eastAsia="zh-CN"/>
              </w:rPr>
              <w:t>管理评审频次为一年一次、本次管理评审于2021年3月23日由总经理主持完成、提供主要输入材料有各部门总结，输入信息基本充分和满足要求。输出见“管理评审报告”,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highlight w:val="none"/>
                <w:lang w:val="en-US" w:eastAsia="zh-CN"/>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3</w:t>
            </w:r>
            <w:r>
              <w:rPr>
                <w:rFonts w:hint="eastAsia" w:ascii="Times New Roman" w:hAnsi="Times New Roman" w:eastAsia="宋体" w:cs="Times New Roman"/>
                <w:b/>
                <w:color w:val="000000" w:themeColor="text1"/>
                <w:sz w:val="20"/>
                <w:szCs w:val="20"/>
              </w:rPr>
              <w:t>.创新情况</w:t>
            </w:r>
          </w:p>
          <w:p>
            <w:pPr>
              <w:spacing w:line="240" w:lineRule="exact"/>
              <w:rPr>
                <w:rFonts w:hint="default"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sz w:val="20"/>
                <w:szCs w:val="20"/>
                <w:highlight w:val="none"/>
              </w:rPr>
            </w:pPr>
            <w:r>
              <w:rPr>
                <w:rFonts w:hint="eastAsia" w:ascii="Times New Roman" w:hAnsi="Times New Roman" w:eastAsia="宋体" w:cs="Times New Roman"/>
                <w:b/>
                <w:color w:val="000000" w:themeColor="text1"/>
                <w:sz w:val="20"/>
                <w:szCs w:val="20"/>
                <w:highlight w:val="none"/>
                <w:lang w:val="en-US" w:eastAsia="zh-CN"/>
              </w:rPr>
              <w:t>4</w:t>
            </w:r>
            <w:r>
              <w:rPr>
                <w:rFonts w:hint="eastAsia" w:ascii="Times New Roman" w:hAnsi="Times New Roman" w:eastAsia="宋体" w:cs="Times New Roman"/>
                <w:b/>
                <w:color w:val="000000" w:themeColor="text1"/>
                <w:sz w:val="20"/>
                <w:szCs w:val="20"/>
                <w:highlight w:val="none"/>
              </w:rPr>
              <w:t>. 上次不符合的整改情况（再认证填写）</w:t>
            </w:r>
          </w:p>
          <w:p>
            <w:pPr>
              <w:spacing w:line="240" w:lineRule="exact"/>
              <w:rPr>
                <w:rFonts w:hint="default" w:ascii="Times New Roman" w:hAnsi="Times New Roman" w:eastAsia="宋体" w:cs="Times New Roman"/>
                <w:b/>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上次不符合</w:t>
            </w:r>
            <w:r>
              <w:rPr>
                <w:rFonts w:hint="eastAsia" w:cs="Times New Roman"/>
                <w:b w:val="0"/>
                <w:bCs/>
                <w:color w:val="000000" w:themeColor="text1"/>
                <w:sz w:val="20"/>
                <w:szCs w:val="20"/>
                <w:highlight w:val="none"/>
                <w:lang w:val="en-US" w:eastAsia="zh-CN"/>
              </w:rPr>
              <w:t>7.2</w:t>
            </w:r>
            <w:r>
              <w:rPr>
                <w:rFonts w:hint="eastAsia" w:ascii="Times New Roman" w:hAnsi="Times New Roman" w:eastAsia="宋体" w:cs="Times New Roman"/>
                <w:b w:val="0"/>
                <w:bCs/>
                <w:color w:val="000000" w:themeColor="text1"/>
                <w:sz w:val="20"/>
                <w:szCs w:val="20"/>
                <w:highlight w:val="none"/>
                <w:lang w:val="en-US" w:eastAsia="zh-CN"/>
              </w:rPr>
              <w:t>条款，经过本次验证未出现类似不符合情况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p>
            <w:pPr>
              <w:spacing w:line="240" w:lineRule="exact"/>
              <w:rPr>
                <w:rFonts w:ascii="宋体" w:hAnsi="宋体"/>
                <w:b/>
                <w:szCs w:val="21"/>
              </w:rPr>
            </w:pPr>
          </w:p>
          <w:p>
            <w:pPr>
              <w:spacing w:line="24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9"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bookmarkStart w:id="29" w:name="_GoBack"/>
            <w:bookmarkEnd w:id="29"/>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02" w:firstLineChars="250"/>
        <w:rPr>
          <w:b/>
          <w:sz w:val="21"/>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1795780</wp:posOffset>
            </wp:positionH>
            <wp:positionV relativeFrom="page">
              <wp:posOffset>1861185</wp:posOffset>
            </wp:positionV>
            <wp:extent cx="409575" cy="264160"/>
            <wp:effectExtent l="0" t="0" r="9525" b="2540"/>
            <wp:wrapSquare wrapText="bothSides"/>
            <wp:docPr id="2"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02a9008b5de35042886cdb39a46e9"/>
                    <pic:cNvPicPr>
                      <a:picLocks noChangeAspect="1"/>
                    </pic:cNvPicPr>
                  </pic:nvPicPr>
                  <pic:blipFill>
                    <a:blip r:embed="rId6"/>
                    <a:stretch>
                      <a:fillRect/>
                    </a:stretch>
                  </pic:blipFill>
                  <pic:spPr>
                    <a:xfrm>
                      <a:off x="0" y="0"/>
                      <a:ext cx="409575" cy="26416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632" w:firstLineChars="30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2021.06.25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rFonts w:hint="default" w:eastAsia="宋体"/>
          <w:b/>
          <w:sz w:val="21"/>
          <w:szCs w:val="21"/>
          <w:u w:val="single"/>
          <w:lang w:val="en-US" w:eastAsia="zh-CN"/>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1155700</wp:posOffset>
            </wp:positionH>
            <wp:positionV relativeFrom="page">
              <wp:posOffset>5259070</wp:posOffset>
            </wp:positionV>
            <wp:extent cx="344170" cy="222250"/>
            <wp:effectExtent l="0" t="0" r="17780" b="6350"/>
            <wp:wrapSquare wrapText="bothSides"/>
            <wp:docPr id="1"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702a9008b5de35042886cdb39a46e9"/>
                    <pic:cNvPicPr>
                      <a:picLocks noChangeAspect="1"/>
                    </pic:cNvPicPr>
                  </pic:nvPicPr>
                  <pic:blipFill>
                    <a:blip r:embed="rId6"/>
                    <a:stretch>
                      <a:fillRect/>
                    </a:stretch>
                  </pic:blipFill>
                  <pic:spPr>
                    <a:xfrm>
                      <a:off x="0" y="0"/>
                      <a:ext cx="344170" cy="22225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907E1B"/>
    <w:rsid w:val="033C4FCA"/>
    <w:rsid w:val="03F06192"/>
    <w:rsid w:val="04E5639E"/>
    <w:rsid w:val="0BBF7ECD"/>
    <w:rsid w:val="0D4C4474"/>
    <w:rsid w:val="146B0713"/>
    <w:rsid w:val="153B782E"/>
    <w:rsid w:val="15CD0639"/>
    <w:rsid w:val="16C12FBC"/>
    <w:rsid w:val="1D59352D"/>
    <w:rsid w:val="1EBE78F5"/>
    <w:rsid w:val="2BB5666F"/>
    <w:rsid w:val="2CF401F5"/>
    <w:rsid w:val="2DD5335C"/>
    <w:rsid w:val="34FA206B"/>
    <w:rsid w:val="36C863A7"/>
    <w:rsid w:val="3C1B6C05"/>
    <w:rsid w:val="41DD2322"/>
    <w:rsid w:val="573B7199"/>
    <w:rsid w:val="58C77DBF"/>
    <w:rsid w:val="5D0C21C8"/>
    <w:rsid w:val="5DA74A1D"/>
    <w:rsid w:val="5EFF03C8"/>
    <w:rsid w:val="5FE35581"/>
    <w:rsid w:val="606F5741"/>
    <w:rsid w:val="62F05A04"/>
    <w:rsid w:val="675E6D02"/>
    <w:rsid w:val="74626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4</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2021-06-25T05:47:35Z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5300A0328A6B4A1D9B732B2113915540</vt:lpwstr>
  </property>
</Properties>
</file>