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成都市康泰光电仪器有限公司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袁丁玲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冯世琴</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15.01.05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成都市康泰光电仪器有限公司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成都市新都区工业东区万兴路528号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成都市新都区工业东区万兴路528号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龚雅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028-83986126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康鹏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402" w:firstLineChars="200"/>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康鹏</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林立贵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光学玻璃的生产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15.01.05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2021-03-01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管理层</w:t>
            </w:r>
          </w:p>
        </w:tc>
        <w:tc>
          <w:tcPr>
            <w:tcW w:w="6804" w:type="dxa"/>
            <w:vAlign w:val="top"/>
          </w:tcPr>
          <w:p>
            <w:pPr>
              <w:jc w:val="left"/>
              <w:rPr>
                <w:rFonts w:hint="eastAsia" w:ascii="宋体" w:hAnsi="宋体" w:eastAsia="宋体" w:cs="Times New Roman"/>
                <w:bCs/>
                <w:color w:val="000000" w:themeColor="text1"/>
                <w:spacing w:val="-20"/>
                <w:kern w:val="2"/>
                <w:sz w:val="20"/>
                <w:szCs w:val="20"/>
                <w:lang w:val="en-US" w:eastAsia="zh-CN" w:bidi="ar-SA"/>
              </w:rPr>
            </w:pPr>
            <w:r>
              <w:rPr>
                <w:rFonts w:hint="eastAsia" w:ascii="宋体" w:hAnsi="宋体"/>
                <w:bCs/>
                <w:color w:val="000000" w:themeColor="text1"/>
                <w:spacing w:val="-20"/>
                <w:sz w:val="20"/>
                <w:szCs w:val="20"/>
              </w:rPr>
              <w:t>内外部环境识别、管理职责分配、方针目标制定审批、提供必要的资源、管理评审、改进等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销售部</w:t>
            </w:r>
          </w:p>
        </w:tc>
        <w:tc>
          <w:tcPr>
            <w:tcW w:w="6804" w:type="dxa"/>
            <w:vAlign w:val="top"/>
          </w:tcPr>
          <w:p>
            <w:pPr>
              <w:jc w:val="left"/>
              <w:rPr>
                <w:rFonts w:ascii="宋体" w:hAnsi="宋体" w:eastAsia="宋体" w:cs="Times New Roman"/>
                <w:bCs/>
                <w:color w:val="000000" w:themeColor="text1"/>
                <w:spacing w:val="-20"/>
                <w:kern w:val="2"/>
                <w:sz w:val="20"/>
                <w:szCs w:val="20"/>
                <w:lang w:val="en-US" w:eastAsia="zh-CN" w:bidi="ar-SA"/>
              </w:rPr>
            </w:pPr>
            <w:r>
              <w:rPr>
                <w:rFonts w:hint="eastAsia" w:ascii="宋体" w:hAnsi="宋体"/>
                <w:bCs/>
                <w:color w:val="000000" w:themeColor="text1"/>
                <w:spacing w:val="-20"/>
                <w:sz w:val="20"/>
                <w:szCs w:val="20"/>
              </w:rPr>
              <w:t>采购、供应商管理、销售、客户管理、顾客满意度调查、产品和服务要求的确定等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办公室</w:t>
            </w:r>
          </w:p>
        </w:tc>
        <w:tc>
          <w:tcPr>
            <w:tcW w:w="6804" w:type="dxa"/>
            <w:vAlign w:val="top"/>
          </w:tcPr>
          <w:p>
            <w:pPr>
              <w:jc w:val="left"/>
              <w:rPr>
                <w:rFonts w:ascii="宋体" w:hAnsi="宋体" w:eastAsia="宋体" w:cs="Times New Roman"/>
                <w:bCs/>
                <w:color w:val="000000" w:themeColor="text1"/>
                <w:spacing w:val="-20"/>
                <w:kern w:val="2"/>
                <w:sz w:val="20"/>
                <w:szCs w:val="20"/>
                <w:lang w:val="en-US" w:eastAsia="zh-CN" w:bidi="ar-SA"/>
              </w:rPr>
            </w:pPr>
            <w:r>
              <w:rPr>
                <w:rFonts w:hint="eastAsia" w:ascii="宋体" w:hAnsi="宋体"/>
                <w:bCs/>
                <w:color w:val="000000" w:themeColor="text1"/>
                <w:spacing w:val="-20"/>
                <w:sz w:val="20"/>
                <w:szCs w:val="20"/>
              </w:rPr>
              <w:t>体系文件控制管理、人力资源、培训、内审执行、沟通、监视分析和评价等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生产部</w:t>
            </w:r>
          </w:p>
        </w:tc>
        <w:tc>
          <w:tcPr>
            <w:tcW w:w="6804" w:type="dxa"/>
            <w:vAlign w:val="top"/>
          </w:tcPr>
          <w:p>
            <w:pPr>
              <w:jc w:val="left"/>
              <w:rPr>
                <w:rFonts w:ascii="宋体" w:hAnsi="宋体" w:eastAsia="宋体" w:cs="Times New Roman"/>
                <w:bCs/>
                <w:color w:val="000000" w:themeColor="text1"/>
                <w:spacing w:val="-20"/>
                <w:kern w:val="2"/>
                <w:sz w:val="20"/>
                <w:szCs w:val="20"/>
                <w:lang w:val="en-US" w:eastAsia="zh-CN" w:bidi="ar-SA"/>
              </w:rPr>
            </w:pPr>
            <w:r>
              <w:rPr>
                <w:rFonts w:hint="eastAsia" w:ascii="宋体" w:hAnsi="宋体"/>
                <w:bCs/>
                <w:color w:val="000000" w:themeColor="text1"/>
                <w:spacing w:val="-20"/>
                <w:sz w:val="20"/>
                <w:szCs w:val="20"/>
              </w:rPr>
              <w:t>生产、生产过程控制、环境消杀、库房管理等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质检部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Cs/>
                <w:color w:val="000000" w:themeColor="text1"/>
                <w:spacing w:val="-20"/>
                <w:sz w:val="20"/>
                <w:szCs w:val="20"/>
              </w:rPr>
              <w:t>产品检验、产品放行</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光学玻璃的生产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ind w:firstLine="420" w:firstLineChars="200"/>
              <w:jc w:val="left"/>
              <w:rPr>
                <w:rFonts w:hint="eastAsia" w:ascii="宋体" w:hAnsi="宋体" w:eastAsia="宋体" w:cs="Times New Roman"/>
                <w:szCs w:val="21"/>
                <w:highlight w:val="none"/>
                <w:lang w:eastAsia="zh-CN"/>
              </w:rPr>
            </w:pPr>
            <w:r>
              <w:rPr>
                <w:rFonts w:hint="eastAsia" w:ascii="宋体" w:hAnsi="宋体" w:cs="宋体"/>
                <w:szCs w:val="21"/>
              </w:rPr>
              <w:t>无色光学玻璃</w:t>
            </w:r>
            <w:r>
              <w:rPr>
                <w:rFonts w:ascii="宋体" w:hAnsi="宋体" w:cs="宋体"/>
                <w:szCs w:val="21"/>
              </w:rPr>
              <w:t>GB/T 903-2019</w:t>
            </w:r>
            <w:r>
              <w:rPr>
                <w:rFonts w:hint="eastAsia" w:ascii="宋体" w:hAnsi="宋体" w:cs="宋体"/>
                <w:szCs w:val="21"/>
                <w:lang w:eastAsia="zh-CN"/>
              </w:rPr>
              <w:t>、</w:t>
            </w:r>
            <w:r>
              <w:rPr>
                <w:rFonts w:hint="eastAsia" w:ascii="宋体" w:hAnsi="宋体" w:cs="宋体"/>
                <w:szCs w:val="21"/>
              </w:rPr>
              <w:t>红外光学玻璃</w:t>
            </w:r>
            <w:r>
              <w:rPr>
                <w:rFonts w:ascii="宋体" w:hAnsi="宋体" w:cs="宋体"/>
                <w:szCs w:val="21"/>
              </w:rPr>
              <w:t>GB/T 36265-2018</w:t>
            </w:r>
            <w:r>
              <w:rPr>
                <w:rFonts w:hint="eastAsia" w:ascii="宋体" w:hAnsi="宋体" w:cs="宋体"/>
                <w:szCs w:val="21"/>
                <w:lang w:eastAsia="zh-CN"/>
              </w:rPr>
              <w:t>、</w:t>
            </w:r>
            <w:r>
              <w:rPr>
                <w:rFonts w:hint="eastAsia" w:ascii="宋体" w:hAnsi="宋体" w:cs="宋体"/>
                <w:szCs w:val="21"/>
              </w:rPr>
              <w:t>滤光玻璃</w:t>
            </w:r>
            <w:r>
              <w:rPr>
                <w:rFonts w:ascii="宋体" w:hAnsi="宋体" w:cs="宋体"/>
                <w:szCs w:val="21"/>
              </w:rPr>
              <w:t>GB/T 15488-2010</w:t>
            </w:r>
            <w:r>
              <w:rPr>
                <w:rFonts w:hint="eastAsia" w:ascii="宋体" w:hAnsi="宋体" w:eastAsia="宋体" w:cs="Times New Roman"/>
                <w:szCs w:val="21"/>
                <w:highlight w:val="none"/>
                <w:lang w:eastAsia="zh-CN"/>
              </w:rPr>
              <w:t>等</w:t>
            </w:r>
            <w:r>
              <w:rPr>
                <w:rFonts w:hint="eastAsia" w:ascii="宋体" w:hAnsi="宋体" w:cs="Times New Roman"/>
                <w:szCs w:val="21"/>
                <w:highlight w:val="none"/>
                <w:lang w:eastAsia="zh-CN"/>
              </w:rPr>
              <w:t>。</w:t>
            </w:r>
          </w:p>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2021年3月1日至2021年6月22日。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0" w:firstLineChars="200"/>
              <w:rPr>
                <w:rFonts w:hint="eastAsia"/>
                <w:bCs/>
                <w:color w:val="000000" w:themeColor="text1"/>
                <w:sz w:val="20"/>
                <w:szCs w:val="20"/>
              </w:rPr>
            </w:pPr>
            <w:r>
              <w:rPr>
                <w:rFonts w:hint="eastAsia"/>
                <w:bCs/>
                <w:color w:val="000000" w:themeColor="text1"/>
                <w:sz w:val="20"/>
                <w:szCs w:val="20"/>
              </w:rPr>
              <w:t>组织对内外部因素、相关方需求和期望进行了充分的识别，策划和实施有效。组织确定了体系的边界，基本适用。管理体系8.3条款不适用。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rFonts w:hint="eastAsia"/>
                <w:bCs/>
                <w:color w:val="000000" w:themeColor="text1"/>
                <w:sz w:val="20"/>
                <w:szCs w:val="20"/>
              </w:rPr>
            </w:pPr>
            <w:r>
              <w:rPr>
                <w:rFonts w:hint="eastAsia"/>
                <w:bCs/>
                <w:color w:val="000000" w:themeColor="text1"/>
                <w:sz w:val="20"/>
                <w:szCs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szCs w:val="21"/>
              </w:rPr>
              <w:t xml:space="preserve"> ☑</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3" w:leftChars="-6" w:firstLine="400" w:firstLineChars="200"/>
              <w:jc w:val="left"/>
              <w:rPr>
                <w:bCs/>
                <w:color w:val="000000" w:themeColor="text1"/>
                <w:sz w:val="20"/>
                <w:szCs w:val="20"/>
              </w:rPr>
            </w:pPr>
            <w:r>
              <w:rPr>
                <w:rFonts w:hint="eastAsia"/>
                <w:bCs/>
                <w:color w:val="000000" w:themeColor="text1"/>
                <w:sz w:val="20"/>
                <w:szCs w:val="20"/>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rPr>
              <w:t>遵纪守法  质量第一  客户满意  持续改进</w:t>
            </w:r>
            <w:r>
              <w:rPr>
                <w:rFonts w:hint="eastAsia"/>
                <w:bCs/>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风险识别与控制策划（QMS）</w:t>
            </w:r>
          </w:p>
          <w:p>
            <w:pPr>
              <w:spacing w:line="240" w:lineRule="exact"/>
              <w:rPr>
                <w:rFonts w:hint="eastAsia"/>
                <w:bCs/>
                <w:color w:val="000000" w:themeColor="text1"/>
              </w:rPr>
            </w:pPr>
            <w:r>
              <w:rPr>
                <w:rFonts w:hint="eastAsia"/>
                <w:bCs/>
                <w:color w:val="000000" w:themeColor="text1"/>
                <w:sz w:val="20"/>
                <w:szCs w:val="20"/>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Cs/>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Cs w:val="21"/>
              </w:rPr>
              <w:t>光学玻璃的生产</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w:t>
            </w:r>
            <w:r>
              <w:rPr>
                <w:rFonts w:hint="eastAsia" w:ascii="宋体" w:hAnsi="宋体"/>
                <w:bCs/>
                <w:color w:val="000000" w:themeColor="text1"/>
                <w:sz w:val="20"/>
                <w:szCs w:val="20"/>
                <w:u w:val="single"/>
                <w:lang w:val="en-US" w:eastAsia="zh-CN"/>
              </w:rPr>
              <w:t>精磨尺寸</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u w:val="single"/>
              </w:rPr>
              <w:t xml:space="preserve"> </w:t>
            </w:r>
            <w:r>
              <w:rPr>
                <w:rFonts w:ascii="宋体" w:hAnsi="宋体"/>
                <w:b/>
                <w:color w:val="000000" w:themeColor="text1"/>
                <w:sz w:val="20"/>
                <w:szCs w:val="20"/>
                <w:u w:val="single"/>
              </w:rPr>
              <w:t xml:space="preserve">   </w:t>
            </w:r>
            <w:r>
              <w:rPr>
                <w:rFonts w:hint="eastAsia" w:ascii="宋体" w:hAnsi="宋体"/>
                <w:bCs/>
                <w:color w:val="000000" w:themeColor="text1"/>
                <w:sz w:val="20"/>
                <w:szCs w:val="20"/>
                <w:u w:val="single"/>
                <w:lang w:val="en-US" w:eastAsia="zh-CN"/>
              </w:rPr>
              <w:t>无</w:t>
            </w:r>
            <w:r>
              <w:rPr>
                <w:rFonts w:ascii="宋体" w:hAnsi="宋体"/>
                <w:bCs/>
                <w:color w:val="000000" w:themeColor="text1"/>
                <w:sz w:val="20"/>
                <w:szCs w:val="20"/>
                <w:u w:val="single"/>
              </w:rPr>
              <w:t xml:space="preserve">    </w:t>
            </w:r>
          </w:p>
          <w:p>
            <w:pPr>
              <w:spacing w:line="400" w:lineRule="exact"/>
              <w:rPr>
                <w:rFonts w:hint="eastAsia" w:ascii="宋体" w:hAnsi="宋体" w:cs="Times New Roman"/>
                <w:color w:val="000000"/>
                <w:szCs w:val="21"/>
                <w:highlight w:val="none"/>
                <w:lang w:val="en-US" w:eastAsia="zh-CN"/>
              </w:rPr>
            </w:pPr>
            <w:r>
              <w:rPr>
                <w:rFonts w:hint="eastAsia" w:ascii="宋体" w:hAnsi="宋体"/>
                <w:b/>
                <w:color w:val="000000" w:themeColor="text1"/>
                <w:sz w:val="20"/>
                <w:szCs w:val="20"/>
              </w:rPr>
              <w:t xml:space="preserve">不适用条款是 </w:t>
            </w:r>
            <w:r>
              <w:rPr>
                <w:rFonts w:hint="eastAsia" w:ascii="宋体" w:hAnsi="宋体"/>
                <w:bCs/>
                <w:color w:val="000000" w:themeColor="text1"/>
                <w:sz w:val="20"/>
                <w:szCs w:val="20"/>
              </w:rPr>
              <w:t xml:space="preserve">  8.3 </w:t>
            </w:r>
            <w:r>
              <w:rPr>
                <w:rFonts w:hint="eastAsia" w:ascii="宋体" w:hAnsi="宋体"/>
                <w:b/>
                <w:color w:val="000000" w:themeColor="text1"/>
                <w:sz w:val="20"/>
                <w:szCs w:val="20"/>
              </w:rPr>
              <w:t xml:space="preserve">    ，不适用理由：</w:t>
            </w:r>
            <w:r>
              <w:rPr>
                <w:rFonts w:hint="eastAsia" w:ascii="宋体" w:hAnsi="宋体" w:eastAsia="宋体" w:cs="Times New Roman"/>
                <w:szCs w:val="21"/>
                <w:lang w:val="en-US" w:eastAsia="zh-CN"/>
              </w:rPr>
              <w:t>公司生产依据国家成熟工艺,按国家标准的生产技术及客户图纸要求生产,因此标准8.3条款“产品和服务的设计和开发”要求不适用。公司确保不适用的质量管理体系的产品和服务的设计和开发要求，不影响组织确保产品和服务合格以及增强顾客满意的能力或责任。</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szCs w:val="21"/>
              </w:rPr>
              <w:t>☑</w:t>
            </w:r>
            <w:r>
              <w:rPr>
                <w:rFonts w:hint="eastAsia" w:ascii="宋体" w:hAnsi="宋体"/>
                <w:b/>
                <w:color w:val="000000" w:themeColor="text1"/>
                <w:szCs w:val="21"/>
              </w:rPr>
              <w:t>产品/服务□环境因素□危险源，</w:t>
            </w:r>
            <w:r>
              <w:rPr>
                <w:rFonts w:hint="eastAsia" w:ascii="宋体" w:hAnsi="宋体"/>
                <w:szCs w:val="21"/>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Cs/>
                <w:color w:val="000000" w:themeColor="text1"/>
                <w:szCs w:val="21"/>
              </w:rPr>
              <w:t>培训、会议、标语</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ind w:firstLine="210" w:firstLineChars="100"/>
              <w:rPr>
                <w:rFonts w:ascii="宋体" w:hAnsi="宋体"/>
                <w:bCs/>
                <w:color w:val="000000" w:themeColor="text1"/>
              </w:rPr>
            </w:pPr>
            <w:r>
              <w:rPr>
                <w:rFonts w:hint="eastAsia" w:ascii="宋体" w:hAnsi="宋体"/>
                <w:bCs/>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p>
            <w:pPr>
              <w:spacing w:line="240" w:lineRule="exact"/>
              <w:ind w:firstLine="210" w:firstLineChars="100"/>
              <w:rPr>
                <w:rFonts w:hint="eastAsia" w:ascii="宋体" w:hAnsi="宋体" w:eastAsia="宋体" w:cs="Times New Roman"/>
                <w:bCs/>
                <w:color w:val="000000" w:themeColor="text1"/>
              </w:rPr>
            </w:pPr>
          </w:p>
          <w:p>
            <w:pPr>
              <w:spacing w:line="240" w:lineRule="exact"/>
              <w:ind w:firstLine="210" w:firstLineChars="100"/>
              <w:rPr>
                <w:rFonts w:hint="eastAsia" w:ascii="宋体" w:hAnsi="宋体" w:eastAsia="宋体" w:cs="Times New Roman"/>
                <w:bCs/>
                <w:color w:val="000000" w:themeColor="text1"/>
              </w:rPr>
            </w:pPr>
            <w:r>
              <w:rPr>
                <w:rFonts w:hint="eastAsia" w:ascii="宋体" w:hAnsi="宋体" w:eastAsia="宋体" w:cs="Times New Roman"/>
                <w:bCs/>
                <w:color w:val="000000" w:themeColor="text1"/>
              </w:rPr>
              <w:t xml:space="preserve">质量目标： </w:t>
            </w:r>
          </w:p>
          <w:p>
            <w:pPr>
              <w:pStyle w:val="6"/>
              <w:spacing w:before="0" w:beforeAutospacing="0" w:after="0" w:afterAutospacing="0" w:line="500" w:lineRule="exact"/>
              <w:ind w:firstLine="480" w:firstLineChars="200"/>
              <w:rPr>
                <w:rFonts w:hint="eastAsia" w:ascii="宋体" w:hAnsi="宋体" w:eastAsia="宋体" w:cs="宋体"/>
                <w:kern w:val="2"/>
                <w:sz w:val="21"/>
                <w:szCs w:val="24"/>
                <w:lang w:val="en-US" w:eastAsia="zh-CN" w:bidi="ar-SA"/>
              </w:rPr>
            </w:pPr>
            <w:r>
              <w:rPr>
                <w:rFonts w:hint="eastAsia" w:ascii="宋体" w:hAnsi="宋体" w:eastAsia="宋体" w:cs="Times New Roman"/>
                <w:bCs/>
                <w:color w:val="000000" w:themeColor="text1"/>
                <w:lang w:val="en-US" w:eastAsia="zh-CN"/>
              </w:rPr>
              <w:t xml:space="preserve"> </w:t>
            </w:r>
            <w:r>
              <w:rPr>
                <w:rFonts w:hint="eastAsia" w:ascii="宋体" w:hAnsi="宋体" w:eastAsia="宋体" w:cs="宋体"/>
                <w:kern w:val="2"/>
                <w:sz w:val="21"/>
                <w:szCs w:val="24"/>
                <w:lang w:val="en-US" w:eastAsia="zh-CN" w:bidi="ar-SA"/>
              </w:rPr>
              <w:t>1、产品交付合格率100%</w:t>
            </w:r>
          </w:p>
          <w:p>
            <w:pPr>
              <w:pStyle w:val="6"/>
              <w:spacing w:before="0" w:beforeAutospacing="0" w:after="0" w:afterAutospacing="0" w:line="500" w:lineRule="exact"/>
              <w:ind w:firstLine="630" w:firstLineChars="300"/>
              <w:rPr>
                <w:rFonts w:hint="eastAsia" w:ascii="宋体" w:hAnsi="宋体"/>
                <w:bCs/>
                <w:color w:val="000000" w:themeColor="text1"/>
              </w:rPr>
            </w:pPr>
            <w:r>
              <w:rPr>
                <w:rFonts w:hint="eastAsia" w:ascii="宋体" w:hAnsi="宋体" w:eastAsia="宋体" w:cs="宋体"/>
                <w:kern w:val="2"/>
                <w:sz w:val="21"/>
                <w:szCs w:val="24"/>
                <w:lang w:val="en-US" w:eastAsia="zh-CN" w:bidi="ar-SA"/>
              </w:rPr>
              <w:t>2、顾客满意度≥95%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0" w:firstLineChars="200"/>
              <w:rPr>
                <w:rFonts w:ascii="宋体" w:hAnsi="宋体"/>
                <w:b/>
                <w:color w:val="000000" w:themeColor="text1"/>
                <w:sz w:val="20"/>
                <w:szCs w:val="20"/>
              </w:rPr>
            </w:pPr>
            <w:r>
              <w:rPr>
                <w:rFonts w:hint="eastAsia" w:ascii="宋体" w:hAnsi="宋体"/>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w:t>
            </w:r>
            <w:r>
              <w:rPr>
                <w:rFonts w:hint="eastAsia" w:ascii="宋体" w:hAnsi="宋体"/>
                <w:bCs/>
                <w:color w:val="000000" w:themeColor="text1"/>
                <w:sz w:val="20"/>
                <w:szCs w:val="20"/>
                <w:lang w:val="en-US" w:eastAsia="zh-CN"/>
              </w:rPr>
              <w:t>2021年2月25日发布，2021年3月1日</w:t>
            </w:r>
            <w:r>
              <w:rPr>
                <w:rFonts w:hint="eastAsia" w:ascii="宋体" w:hAnsi="宋体"/>
                <w:bCs/>
                <w:color w:val="000000" w:themeColor="text1"/>
                <w:sz w:val="20"/>
                <w:szCs w:val="20"/>
              </w:rPr>
              <w:t>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0" w:firstLineChars="200"/>
              <w:rPr>
                <w:rFonts w:hint="eastAsia" w:ascii="宋体" w:hAnsi="宋体"/>
                <w:bCs/>
                <w:color w:val="000000" w:themeColor="text1"/>
                <w:sz w:val="20"/>
                <w:szCs w:val="20"/>
              </w:rPr>
            </w:pPr>
            <w:r>
              <w:rPr>
                <w:rFonts w:hint="eastAsia" w:ascii="宋体" w:hAnsi="宋体"/>
                <w:bCs/>
                <w:color w:val="000000" w:themeColor="text1"/>
                <w:sz w:val="20"/>
                <w:szCs w:val="20"/>
              </w:rPr>
              <w:t>组织按管理体系需求配置了充足的人员、设施、监视和测量设备等资源，并建立维持了产品的生产及相关服务运行环境，可以维持管理体系的正常运行。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color w:val="000000" w:themeColor="text1"/>
                <w:sz w:val="20"/>
                <w:szCs w:val="20"/>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lang w:val="en-US" w:eastAsia="zh-CN"/>
              </w:rPr>
              <w:t xml:space="preserve">  </w:t>
            </w:r>
            <w:r>
              <w:rPr>
                <w:rFonts w:hint="eastAsia" w:ascii="宋体" w:hAnsi="宋体"/>
                <w:bCs/>
                <w:iCs/>
                <w:szCs w:val="22"/>
                <w:highlight w:val="none"/>
                <w:lang w:val="en-US" w:eastAsia="zh-CN"/>
              </w:rPr>
              <w:t>公司厂房面积500平方米，办公室面积150平方米，主要生产设备包括：</w:t>
            </w:r>
            <w:r>
              <w:rPr>
                <w:rFonts w:hint="eastAsia" w:ascii="Times New Roman" w:hAnsi="Times New Roman" w:eastAsia="宋体" w:cs="Times New Roman"/>
                <w:lang w:val="en-US" w:eastAsia="zh-CN"/>
              </w:rPr>
              <w:t>Q8040型切割机一台、7475B型铣磨机一台、日进PM600铣磨机4台、抛砂研磨机3台，倒边机1台</w:t>
            </w:r>
            <w:r>
              <w:rPr>
                <w:rFonts w:hint="eastAsia" w:ascii="Times New Roman" w:hAnsi="Times New Roman" w:cs="Times New Roman"/>
                <w:lang w:val="en-US" w:eastAsia="zh-CN"/>
              </w:rPr>
              <w:t>等</w:t>
            </w:r>
            <w:r>
              <w:rPr>
                <w:rFonts w:hint="eastAsia" w:ascii="宋体" w:hAnsi="宋体"/>
                <w:bCs/>
                <w:iCs/>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0" w:firstLineChars="200"/>
              <w:rPr>
                <w:rFonts w:ascii="宋体" w:hAnsi="宋体"/>
                <w:bCs/>
                <w:color w:val="000000" w:themeColor="text1"/>
                <w:sz w:val="20"/>
                <w:szCs w:val="20"/>
              </w:rPr>
            </w:pPr>
            <w:r>
              <w:rPr>
                <w:rFonts w:hint="eastAsia" w:ascii="宋体" w:hAnsi="宋体"/>
                <w:bCs/>
                <w:color w:val="000000" w:themeColor="text1"/>
                <w:sz w:val="20"/>
                <w:szCs w:val="20"/>
              </w:rPr>
              <w:t>车间内设备布置合理，通道畅通，照明设施齐全，均配备了消防设施等设施。办公室明亮，作业场所光线较充足。每月由生产技术部对工作环境进行定期检查。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rPr>
                <w:rFonts w:hint="default"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 xml:space="preserve">  </w:t>
            </w:r>
            <w:r>
              <w:rPr>
                <w:rFonts w:hint="eastAsia"/>
                <w:lang w:val="en-US" w:eastAsia="zh-CN"/>
              </w:rPr>
              <w:t>带表卡尺、深度游标卡尺等6把</w:t>
            </w:r>
            <w:r>
              <w:rPr>
                <w:rFonts w:hint="eastAsia"/>
                <w:highlight w:val="none"/>
                <w:lang w:val="en-US" w:eastAsia="zh-CN"/>
              </w:rPr>
              <w:t>，能提供在用检具的校准证书，详见附件。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宋体" w:hAnsi="宋体"/>
                <w:bCs/>
                <w:color w:val="000000" w:themeColor="text1"/>
                <w:sz w:val="20"/>
                <w:szCs w:val="20"/>
              </w:rPr>
            </w:pPr>
            <w:r>
              <w:rPr>
                <w:rFonts w:hint="eastAsia" w:ascii="宋体" w:hAnsi="宋体"/>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bCs/>
                <w:color w:val="000000" w:themeColor="text1"/>
                <w:sz w:val="20"/>
                <w:szCs w:val="20"/>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Cs/>
                <w:color w:val="000000" w:themeColor="text1"/>
                <w:sz w:val="20"/>
                <w:szCs w:val="20"/>
              </w:rPr>
            </w:pPr>
            <w:r>
              <w:rPr>
                <w:rFonts w:hint="eastAsia"/>
                <w:bCs/>
                <w:color w:val="000000" w:themeColor="text1"/>
                <w:sz w:val="20"/>
                <w:szCs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Cs/>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bCs/>
                <w:color w:val="000000" w:themeColor="text1"/>
                <w:sz w:val="20"/>
                <w:szCs w:val="20"/>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bCs/>
                <w:color w:val="000000" w:themeColor="text1"/>
                <w:sz w:val="20"/>
                <w:szCs w:val="20"/>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Cs/>
                <w:color w:val="000000" w:themeColor="text1"/>
                <w:sz w:val="20"/>
                <w:szCs w:val="20"/>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bCs/>
                <w:color w:val="000000" w:themeColor="text1"/>
                <w:sz w:val="20"/>
                <w:szCs w:val="20"/>
              </w:rPr>
            </w:pPr>
            <w:r>
              <w:rPr>
                <w:rFonts w:hint="eastAsia"/>
                <w:bCs/>
                <w:color w:val="000000" w:themeColor="text1"/>
                <w:sz w:val="20"/>
                <w:szCs w:val="20"/>
              </w:rPr>
              <w:t>公司在体系文件中，规定了公司各管理层次（如生产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0" w:firstLineChars="100"/>
              <w:rPr>
                <w:rFonts w:hint="eastAsia" w:ascii="Times New Roman" w:hAnsi="Times New Roman" w:eastAsia="宋体" w:cs="Times New Roman"/>
                <w:bCs/>
                <w:color w:val="000000" w:themeColor="text1"/>
                <w:sz w:val="20"/>
                <w:szCs w:val="20"/>
              </w:rPr>
            </w:pPr>
            <w:r>
              <w:rPr>
                <w:rFonts w:hint="eastAsia"/>
                <w:bCs/>
                <w:color w:val="000000" w:themeColor="text1"/>
                <w:sz w:val="20"/>
                <w:szCs w:val="20"/>
              </w:rPr>
              <w:t>制定并实施了产品检验控制规定，规定了公司各管理层次和品质检测部门在各阶段对产品服务质量实施检查与验</w:t>
            </w:r>
            <w:r>
              <w:rPr>
                <w:rFonts w:hint="eastAsia" w:ascii="Times New Roman" w:hAnsi="Times New Roman" w:eastAsia="宋体" w:cs="Times New Roman"/>
                <w:bCs/>
                <w:color w:val="000000" w:themeColor="text1"/>
                <w:sz w:val="20"/>
                <w:szCs w:val="20"/>
              </w:rPr>
              <w:t>收的管理要求。内容基本具备全面性、系统性及可操作性。质量检查与验收均在出厂前予以实现，范围包括：过程、最终产品。以此保证持续向顾客稳定提供稳定合格的产品。</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Cs/>
                <w:color w:val="000000" w:themeColor="text1"/>
                <w:sz w:val="20"/>
                <w:szCs w:val="20"/>
              </w:rPr>
              <w:t>验收规范、验收记录等</w:t>
            </w:r>
            <w:r>
              <w:rPr>
                <w:rFonts w:hint="eastAsia"/>
                <w:b/>
                <w:color w:val="000000" w:themeColor="text1"/>
                <w:sz w:val="20"/>
                <w:szCs w:val="20"/>
              </w:rPr>
              <w:t>。</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0" w:firstLineChars="200"/>
              <w:rPr>
                <w:bCs/>
                <w:color w:val="000000" w:themeColor="text1"/>
                <w:sz w:val="20"/>
                <w:szCs w:val="20"/>
              </w:rPr>
            </w:pPr>
            <w:r>
              <w:rPr>
                <w:rFonts w:hint="eastAsia"/>
                <w:bCs/>
                <w:color w:val="000000" w:themeColor="text1"/>
                <w:sz w:val="20"/>
                <w:szCs w:val="20"/>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300" w:firstLineChars="150"/>
              <w:rPr>
                <w:bCs/>
                <w:color w:val="000000" w:themeColor="text1"/>
                <w:sz w:val="20"/>
                <w:szCs w:val="20"/>
              </w:rPr>
            </w:pPr>
            <w:r>
              <w:rPr>
                <w:rFonts w:hint="eastAsia"/>
                <w:bCs/>
                <w:color w:val="000000" w:themeColor="text1"/>
                <w:sz w:val="20"/>
                <w:szCs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bCs/>
                <w:color w:val="000000" w:themeColor="text1"/>
                <w:sz w:val="20"/>
                <w:szCs w:val="20"/>
                <w:lang w:val="en-US" w:eastAsia="zh-CN"/>
              </w:rPr>
              <w:t>1.3</w:t>
            </w:r>
            <w:r>
              <w:rPr>
                <w:rFonts w:hint="eastAsia"/>
                <w:bCs/>
                <w:color w:val="000000" w:themeColor="text1"/>
                <w:sz w:val="20"/>
                <w:szCs w:val="20"/>
              </w:rPr>
              <w:t>月-</w:t>
            </w:r>
            <w:r>
              <w:rPr>
                <w:rFonts w:hint="eastAsia"/>
                <w:bCs/>
                <w:color w:val="000000" w:themeColor="text1"/>
                <w:sz w:val="20"/>
                <w:szCs w:val="20"/>
                <w:lang w:val="en-US" w:eastAsia="zh-CN"/>
              </w:rPr>
              <w:t>5</w:t>
            </w:r>
            <w:r>
              <w:rPr>
                <w:rFonts w:hint="eastAsia"/>
                <w:bCs/>
                <w:color w:val="000000" w:themeColor="text1"/>
                <w:sz w:val="20"/>
                <w:szCs w:val="20"/>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85" w:leftChars="88" w:firstLine="186" w:firstLineChars="93"/>
              <w:rPr>
                <w:rFonts w:hint="eastAsia"/>
                <w:bCs/>
                <w:color w:val="000000" w:themeColor="text1"/>
                <w:sz w:val="20"/>
                <w:szCs w:val="20"/>
              </w:rPr>
            </w:pPr>
            <w:r>
              <w:rPr>
                <w:rFonts w:hint="eastAsia"/>
                <w:bCs/>
                <w:color w:val="000000" w:themeColor="text1"/>
                <w:sz w:val="20"/>
                <w:szCs w:val="20"/>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2021年</w:t>
            </w:r>
            <w:r>
              <w:rPr>
                <w:rFonts w:hint="eastAsia"/>
                <w:bCs/>
                <w:color w:val="000000" w:themeColor="text1"/>
                <w:sz w:val="20"/>
                <w:szCs w:val="20"/>
                <w:lang w:val="en-US" w:eastAsia="zh-CN"/>
              </w:rPr>
              <w:t>5</w:t>
            </w:r>
            <w:r>
              <w:rPr>
                <w:rFonts w:hint="eastAsia"/>
                <w:bCs/>
                <w:color w:val="000000" w:themeColor="text1"/>
                <w:sz w:val="20"/>
                <w:szCs w:val="20"/>
              </w:rPr>
              <w:t>月实施，满意度评价9</w:t>
            </w:r>
            <w:r>
              <w:rPr>
                <w:rFonts w:hint="eastAsia"/>
                <w:bCs/>
                <w:color w:val="000000" w:themeColor="text1"/>
                <w:sz w:val="20"/>
                <w:szCs w:val="20"/>
                <w:lang w:val="en-US" w:eastAsia="zh-CN"/>
              </w:rPr>
              <w:t>9</w:t>
            </w:r>
            <w:r>
              <w:rPr>
                <w:rFonts w:hint="eastAsia"/>
                <w:bCs/>
                <w:color w:val="000000" w:themeColor="text1"/>
                <w:sz w:val="20"/>
                <w:szCs w:val="20"/>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ind w:firstLine="400" w:firstLineChars="200"/>
              <w:rPr>
                <w:bCs/>
                <w:color w:val="000000" w:themeColor="text1"/>
                <w:sz w:val="20"/>
                <w:szCs w:val="20"/>
              </w:rPr>
            </w:pPr>
            <w:r>
              <w:rPr>
                <w:rFonts w:hint="eastAsia"/>
                <w:bCs/>
                <w:color w:val="000000" w:themeColor="text1"/>
                <w:sz w:val="20"/>
                <w:szCs w:val="20"/>
              </w:rPr>
              <w:t>建立有《内部审核控制程序》，规定了内审频次</w:t>
            </w:r>
            <w:r>
              <w:rPr>
                <w:rFonts w:hint="eastAsia" w:ascii="Times New Roman" w:hAnsi="Times New Roman" w:eastAsia="宋体" w:cs="Times New Roman"/>
                <w:bCs/>
                <w:color w:val="000000" w:themeColor="text1"/>
                <w:sz w:val="20"/>
                <w:szCs w:val="20"/>
              </w:rPr>
              <w:t>一年一次，内审时间：</w:t>
            </w:r>
            <w:r>
              <w:rPr>
                <w:rFonts w:hint="eastAsia" w:ascii="Times New Roman" w:hAnsi="Times New Roman" w:eastAsia="宋体" w:cs="Times New Roman"/>
                <w:bCs/>
                <w:color w:val="000000" w:themeColor="text1"/>
                <w:sz w:val="20"/>
                <w:szCs w:val="20"/>
                <w:lang w:eastAsia="zh-CN"/>
              </w:rPr>
              <w:t>2021年</w:t>
            </w:r>
            <w:r>
              <w:rPr>
                <w:rFonts w:hint="eastAsia" w:ascii="Times New Roman" w:hAnsi="Times New Roman" w:eastAsia="宋体" w:cs="Times New Roman"/>
                <w:bCs/>
                <w:color w:val="000000" w:themeColor="text1"/>
                <w:sz w:val="20"/>
                <w:szCs w:val="20"/>
                <w:lang w:val="en-US" w:eastAsia="zh-CN"/>
              </w:rPr>
              <w:t>6</w:t>
            </w:r>
            <w:r>
              <w:rPr>
                <w:rFonts w:hint="eastAsia" w:ascii="Times New Roman" w:hAnsi="Times New Roman" w:eastAsia="宋体" w:cs="Times New Roman"/>
                <w:bCs/>
                <w:color w:val="000000" w:themeColor="text1"/>
                <w:sz w:val="20"/>
                <w:szCs w:val="20"/>
                <w:lang w:eastAsia="zh-CN"/>
              </w:rPr>
              <w:t>月1日</w:t>
            </w:r>
            <w:r>
              <w:rPr>
                <w:rFonts w:hint="eastAsia" w:ascii="Times New Roman" w:hAnsi="Times New Roman" w:eastAsia="宋体" w:cs="Times New Roman"/>
                <w:bCs/>
                <w:color w:val="000000" w:themeColor="text1"/>
                <w:sz w:val="20"/>
                <w:szCs w:val="20"/>
              </w:rPr>
              <w:t>，拟</w:t>
            </w:r>
            <w:r>
              <w:rPr>
                <w:rFonts w:hint="eastAsia"/>
                <w:bCs/>
                <w:color w:val="000000" w:themeColor="text1"/>
                <w:sz w:val="20"/>
                <w:szCs w:val="20"/>
              </w:rPr>
              <w:t>定了审核实施表，明确了内审范围，内审人员经培训合格上岗，能力满足要求，未出现审核本部门情况，内审不符合项1项， 涉及</w:t>
            </w:r>
            <w:r>
              <w:rPr>
                <w:rFonts w:hint="eastAsia" w:ascii="宋体" w:hAnsi="宋体" w:eastAsia="宋体" w:cs="Times New Roman"/>
                <w:szCs w:val="21"/>
                <w:lang w:val="en-US" w:eastAsia="zh-CN"/>
              </w:rPr>
              <w:t>销售部</w:t>
            </w:r>
            <w:r>
              <w:rPr>
                <w:rFonts w:hint="eastAsia" w:ascii="宋体" w:hAnsi="宋体" w:eastAsia="宋体" w:cs="Times New Roman"/>
                <w:szCs w:val="21"/>
              </w:rPr>
              <w:t>不符合标准</w:t>
            </w:r>
            <w:r>
              <w:rPr>
                <w:rFonts w:hint="eastAsia" w:ascii="宋体" w:hAnsi="宋体" w:eastAsia="宋体" w:cs="Times New Roman"/>
                <w:szCs w:val="21"/>
                <w:lang w:val="en-US" w:eastAsia="zh-CN"/>
              </w:rPr>
              <w:t>8.2.2</w:t>
            </w:r>
            <w:r>
              <w:rPr>
                <w:rFonts w:hint="eastAsia" w:ascii="宋体" w:hAnsi="宋体" w:eastAsia="宋体" w:cs="Times New Roman"/>
                <w:szCs w:val="21"/>
              </w:rPr>
              <w:t>条款，查查销售部未对麦克奥迪（成都）仪器有限公司的销售合同进行评审</w:t>
            </w:r>
            <w:r>
              <w:rPr>
                <w:rFonts w:hint="eastAsia"/>
                <w:bCs/>
                <w:color w:val="000000" w:themeColor="text1"/>
                <w:sz w:val="20"/>
                <w:szCs w:val="20"/>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200" w:firstLineChars="100"/>
              <w:rPr>
                <w:bCs/>
                <w:color w:val="000000" w:themeColor="text1"/>
                <w:sz w:val="20"/>
                <w:szCs w:val="20"/>
              </w:rPr>
            </w:pPr>
            <w:r>
              <w:rPr>
                <w:rFonts w:hint="eastAsia"/>
                <w:bCs/>
                <w:color w:val="000000" w:themeColor="text1"/>
                <w:sz w:val="20"/>
                <w:szCs w:val="20"/>
              </w:rPr>
              <w:t>管理评审频次为一年一次、本次管理评审于</w:t>
            </w:r>
            <w:r>
              <w:rPr>
                <w:rFonts w:hint="eastAsia" w:ascii="Times New Roman" w:hAnsi="Times New Roman" w:eastAsia="宋体" w:cs="Times New Roman"/>
                <w:szCs w:val="22"/>
              </w:rPr>
              <w:t>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6</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10</w:t>
            </w:r>
            <w:r>
              <w:rPr>
                <w:rFonts w:hint="eastAsia" w:ascii="Times New Roman" w:hAnsi="Times New Roman" w:eastAsia="宋体" w:cs="Times New Roman"/>
                <w:szCs w:val="22"/>
              </w:rPr>
              <w:t>日</w:t>
            </w:r>
            <w:r>
              <w:rPr>
                <w:rFonts w:hint="eastAsia"/>
                <w:bCs/>
                <w:color w:val="000000" w:themeColor="text1"/>
                <w:sz w:val="20"/>
                <w:szCs w:val="20"/>
              </w:rPr>
              <w:t>由总经理主持完成、提供主要输入材料有各部门总结，输入信息基本充分和满足要求。输出见“管理评审报告”, 做出了管理体系基本适宜、充分和有效的评审结论。管理评审的输出不明确具体，需要改善。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Cs/>
                <w:color w:val="000000" w:themeColor="text1"/>
                <w:sz w:val="20"/>
                <w:szCs w:val="20"/>
              </w:rPr>
            </w:pPr>
            <w:r>
              <w:rPr>
                <w:rFonts w:hint="eastAsia"/>
                <w:bCs/>
                <w:color w:val="000000" w:themeColor="text1"/>
                <w:sz w:val="20"/>
                <w:szCs w:val="20"/>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r>
              <w:rPr>
                <w:rFonts w:hint="eastAsia"/>
                <w:bCs/>
                <w:color w:val="000000" w:themeColor="text1"/>
                <w:spacing w:val="-20"/>
                <w:sz w:val="20"/>
                <w:szCs w:val="20"/>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Cs/>
                <w:color w:val="000000" w:themeColor="text1"/>
                <w:spacing w:val="-20"/>
                <w:sz w:val="20"/>
                <w:szCs w:val="20"/>
              </w:rPr>
            </w:pPr>
            <w:r>
              <w:rPr>
                <w:rFonts w:hint="eastAsia"/>
                <w:bCs/>
                <w:color w:val="000000" w:themeColor="text1"/>
                <w:spacing w:val="-20"/>
                <w:sz w:val="20"/>
                <w:szCs w:val="20"/>
              </w:rPr>
              <w:t>一阶段审核不符合情况：经验证未出现类视情况。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光学玻璃的生产</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1312" behindDoc="0" locked="0" layoutInCell="1" allowOverlap="1">
            <wp:simplePos x="0" y="0"/>
            <wp:positionH relativeFrom="column">
              <wp:posOffset>1729740</wp:posOffset>
            </wp:positionH>
            <wp:positionV relativeFrom="paragraph">
              <wp:posOffset>378460</wp:posOffset>
            </wp:positionV>
            <wp:extent cx="407035" cy="285750"/>
            <wp:effectExtent l="0" t="0" r="12065" b="0"/>
            <wp:wrapNone/>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a:stretch>
                      <a:fillRect/>
                    </a:stretch>
                  </pic:blipFill>
                  <pic:spPr>
                    <a:xfrm>
                      <a:off x="0" y="0"/>
                      <a:ext cx="407035" cy="2857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3" w:leftChars="-32" w:hanging="54" w:hangingChars="26"/>
        <w:rPr>
          <w:b/>
          <w:color w:val="000000" w:themeColor="text1"/>
          <w:sz w:val="26"/>
          <w:szCs w:val="26"/>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2454275</wp:posOffset>
            </wp:positionH>
            <wp:positionV relativeFrom="paragraph">
              <wp:posOffset>27305</wp:posOffset>
            </wp:positionV>
            <wp:extent cx="509905" cy="278765"/>
            <wp:effectExtent l="0" t="0" r="4445" b="6985"/>
            <wp:wrapSquare wrapText="bothSides"/>
            <wp:docPr id="55" name="图片 55" descr="1624254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624254478(1)"/>
                    <pic:cNvPicPr>
                      <a:picLocks noChangeAspect="1"/>
                    </pic:cNvPicPr>
                  </pic:nvPicPr>
                  <pic:blipFill>
                    <a:blip r:embed="rId7"/>
                    <a:stretch>
                      <a:fillRect/>
                    </a:stretch>
                  </pic:blipFill>
                  <pic:spPr>
                    <a:xfrm>
                      <a:off x="0" y="0"/>
                      <a:ext cx="509905" cy="27876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1776095</wp:posOffset>
            </wp:positionH>
            <wp:positionV relativeFrom="paragraph">
              <wp:posOffset>27940</wp:posOffset>
            </wp:positionV>
            <wp:extent cx="511175" cy="259080"/>
            <wp:effectExtent l="0" t="0" r="0" b="7620"/>
            <wp:wrapSquare wrapText="bothSides"/>
            <wp:docPr id="54" name="图片 54" descr="冯世琴 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冯世琴 签名"/>
                    <pic:cNvPicPr>
                      <a:picLocks noChangeAspect="1"/>
                    </pic:cNvPicPr>
                  </pic:nvPicPr>
                  <pic:blipFill>
                    <a:blip r:embed="rId8"/>
                    <a:stretch>
                      <a:fillRect/>
                    </a:stretch>
                  </pic:blipFill>
                  <pic:spPr>
                    <a:xfrm>
                      <a:off x="0" y="0"/>
                      <a:ext cx="511175" cy="259080"/>
                    </a:xfrm>
                    <a:prstGeom prst="rect">
                      <a:avLst/>
                    </a:prstGeom>
                  </pic:spPr>
                </pic:pic>
              </a:graphicData>
            </a:graphic>
          </wp:anchor>
        </w:drawing>
      </w:r>
      <w:r>
        <w:rPr>
          <w:rFonts w:hint="eastAsia"/>
          <w:b/>
          <w:color w:val="000000" w:themeColor="text1"/>
          <w:sz w:val="26"/>
          <w:szCs w:val="26"/>
        </w:rPr>
        <w:t>审核组组员（签名）：</w:t>
      </w:r>
    </w:p>
    <w:p>
      <w:pPr>
        <w:spacing w:before="156" w:beforeLines="50" w:after="156" w:afterLines="50"/>
        <w:ind w:left="-4" w:leftChars="-2" w:firstLine="4585" w:firstLineChars="2175"/>
        <w:rPr>
          <w:rFonts w:hint="eastAsia"/>
          <w:b/>
          <w:color w:val="000000" w:themeColor="text1"/>
          <w:szCs w:val="21"/>
          <w:lang w:val="en-US" w:eastAsia="zh-CN"/>
        </w:rPr>
      </w:pPr>
      <w:r>
        <w:rPr>
          <w:rFonts w:hint="eastAsia"/>
          <w:b/>
          <w:color w:val="000000" w:themeColor="text1"/>
          <w:szCs w:val="21"/>
        </w:rPr>
        <w:t xml:space="preserve">日期:  </w:t>
      </w:r>
      <w:r>
        <w:rPr>
          <w:rFonts w:hint="eastAsia"/>
          <w:b/>
          <w:color w:val="000000" w:themeColor="text1"/>
          <w:szCs w:val="21"/>
          <w:lang w:val="en-US" w:eastAsia="zh-CN"/>
        </w:rPr>
        <w:t>2021年06月22日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bookmarkStart w:id="21" w:name="_GoBack"/>
      <w:bookmarkEnd w:id="21"/>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drawing>
          <wp:anchor distT="0" distB="0" distL="114300" distR="114300" simplePos="0" relativeHeight="251664384" behindDoc="0" locked="0" layoutInCell="1" allowOverlap="1">
            <wp:simplePos x="0" y="0"/>
            <wp:positionH relativeFrom="column">
              <wp:posOffset>778510</wp:posOffset>
            </wp:positionH>
            <wp:positionV relativeFrom="paragraph">
              <wp:posOffset>166370</wp:posOffset>
            </wp:positionV>
            <wp:extent cx="407035" cy="285750"/>
            <wp:effectExtent l="0" t="0" r="12065" b="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6"/>
                    <a:stretch>
                      <a:fillRect/>
                    </a:stretch>
                  </pic:blipFill>
                  <pic:spPr>
                    <a:xfrm>
                      <a:off x="0" y="0"/>
                      <a:ext cx="407035" cy="2857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2021年06月22日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1056CD"/>
    <w:multiLevelType w:val="singleLevel"/>
    <w:tmpl w:val="7B1056CD"/>
    <w:lvl w:ilvl="0" w:tentative="0">
      <w:start w:val="5"/>
      <w:numFmt w:val="decimal"/>
      <w:suff w:val="space"/>
      <w:lvlText w:val="%1."/>
      <w:lvlJc w:val="left"/>
    </w:lvl>
  </w:abstractNum>
  <w:abstractNum w:abstractNumId="3">
    <w:nsid w:val="7C105CD0"/>
    <w:multiLevelType w:val="singleLevel"/>
    <w:tmpl w:val="7C105CD0"/>
    <w:lvl w:ilvl="0" w:tentative="0">
      <w:start w:val="8"/>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50678"/>
    <w:rsid w:val="3ED81D34"/>
    <w:rsid w:val="3F0A6129"/>
    <w:rsid w:val="41245E35"/>
    <w:rsid w:val="417A55CC"/>
    <w:rsid w:val="459B1A85"/>
    <w:rsid w:val="4E042831"/>
    <w:rsid w:val="54731F9D"/>
    <w:rsid w:val="5E8A7033"/>
    <w:rsid w:val="6F5B3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2021-06-21T07:45:38Z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6404AA12F9894B08B32F79FF79525207</vt:lpwstr>
  </property>
</Properties>
</file>