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0632-2021-Q</w:t>
      </w:r>
      <w:bookmarkEnd w:id="0"/>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重庆星联云科科技发展有限公司</w:t>
      </w:r>
      <w:bookmarkEnd w:id="1"/>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numPr>
          <w:ilvl w:val="0"/>
          <w:numId w:val="1"/>
        </w:numPr>
        <w:jc w:val="left"/>
        <w:rPr>
          <w:rFonts w:hint="eastAsia" w:ascii="宋体" w:hAnsi="宋体"/>
          <w:b/>
          <w:color w:val="000000"/>
          <w:sz w:val="26"/>
          <w:szCs w:val="26"/>
        </w:rPr>
      </w:pPr>
      <w:r>
        <w:rPr>
          <w:rFonts w:ascii="宋体"/>
          <w:b/>
          <w:color w:val="000000"/>
          <w:sz w:val="26"/>
          <w:szCs w:val="26"/>
        </w:rPr>
        <w:br w:type="page"/>
      </w:r>
      <w:r>
        <w:rPr>
          <w:rFonts w:hint="eastAsia" w:ascii="宋体" w:hAnsi="宋体"/>
          <w:b/>
          <w:color w:val="000000"/>
          <w:sz w:val="26"/>
          <w:szCs w:val="26"/>
        </w:rPr>
        <w:t>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537"/>
        <w:gridCol w:w="303"/>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14:textFill>
                  <w14:solidFill>
                    <w14:schemeClr w14:val="tx1"/>
                  </w14:solidFill>
                </w14:textFill>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14:textFill>
                  <w14:solidFill>
                    <w14:schemeClr w14:val="tx1"/>
                  </w14:solidFill>
                </w14:textFill>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14:textFill>
                  <w14:solidFill>
                    <w14:schemeClr w14:val="tx1"/>
                  </w14:solidFill>
                </w14:textFill>
              </w:rPr>
              <w:t>010</w:t>
            </w:r>
            <w:r>
              <w:rPr>
                <w:rFonts w:hint="eastAsia"/>
                <w:b/>
                <w:color w:val="000000" w:themeColor="text1"/>
                <w:sz w:val="20"/>
                <w:szCs w:val="20"/>
                <w14:textFill>
                  <w14:solidFill>
                    <w14:schemeClr w14:val="tx1"/>
                  </w14:solidFill>
                </w14:textFill>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945" w:type="dxa"/>
            <w:gridSpan w:val="3"/>
            <w:vAlign w:val="center"/>
          </w:tcPr>
          <w:p>
            <w:pPr>
              <w:spacing w:line="240" w:lineRule="exact"/>
              <w:jc w:val="center"/>
              <w:rPr>
                <w:b/>
                <w:color w:val="000000"/>
                <w:sz w:val="20"/>
                <w:szCs w:val="20"/>
              </w:rPr>
            </w:pPr>
            <w:r>
              <w:rPr>
                <w:rFonts w:hint="eastAsia"/>
                <w:sz w:val="18"/>
                <w:szCs w:val="18"/>
              </w:rPr>
              <w:t>注册资格</w:t>
            </w:r>
          </w:p>
        </w:tc>
        <w:tc>
          <w:tcPr>
            <w:tcW w:w="2636"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2945" w:type="dxa"/>
            <w:gridSpan w:val="3"/>
            <w:vAlign w:val="center"/>
          </w:tcPr>
          <w:p>
            <w:pPr>
              <w:spacing w:line="240" w:lineRule="exact"/>
              <w:jc w:val="center"/>
              <w:rPr>
                <w:b/>
                <w:color w:val="000000"/>
                <w:sz w:val="20"/>
                <w:szCs w:val="20"/>
              </w:rPr>
            </w:pPr>
            <w:r>
              <w:rPr>
                <w:b/>
                <w:color w:val="000000"/>
                <w:sz w:val="20"/>
                <w:szCs w:val="20"/>
              </w:rPr>
              <w:t>审核员</w:t>
            </w:r>
          </w:p>
        </w:tc>
        <w:tc>
          <w:tcPr>
            <w:tcW w:w="2636" w:type="dxa"/>
            <w:gridSpan w:val="4"/>
            <w:vAlign w:val="center"/>
          </w:tcPr>
          <w:p>
            <w:pPr>
              <w:spacing w:line="240" w:lineRule="exact"/>
              <w:jc w:val="center"/>
              <w:rPr>
                <w:b/>
                <w:color w:val="000000"/>
                <w:sz w:val="20"/>
                <w:szCs w:val="20"/>
              </w:rPr>
            </w:pPr>
            <w:r>
              <w:rPr>
                <w:b/>
                <w:color w:val="000000"/>
                <w:sz w:val="20"/>
                <w:szCs w:val="20"/>
              </w:rPr>
              <w:t>29.12.00,33.02.01,34.05.00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2945" w:type="dxa"/>
            <w:gridSpan w:val="3"/>
            <w:vAlign w:val="center"/>
          </w:tcPr>
          <w:p>
            <w:pPr>
              <w:rPr>
                <w:b/>
                <w:color w:val="000000"/>
                <w:sz w:val="20"/>
                <w:szCs w:val="20"/>
              </w:rPr>
            </w:pPr>
          </w:p>
        </w:tc>
        <w:tc>
          <w:tcPr>
            <w:tcW w:w="2636"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945" w:type="dxa"/>
            <w:gridSpan w:val="3"/>
            <w:vAlign w:val="center"/>
          </w:tcPr>
          <w:p>
            <w:pPr>
              <w:rPr>
                <w:b/>
                <w:color w:val="000000"/>
                <w:sz w:val="20"/>
                <w:szCs w:val="20"/>
              </w:rPr>
            </w:pPr>
            <w:r>
              <w:rPr>
                <w:rFonts w:hint="eastAsia"/>
                <w:b/>
                <w:color w:val="000000"/>
                <w:sz w:val="20"/>
                <w:szCs w:val="20"/>
              </w:rPr>
              <w:t>工作单位</w:t>
            </w:r>
          </w:p>
        </w:tc>
        <w:tc>
          <w:tcPr>
            <w:tcW w:w="2636"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945" w:type="dxa"/>
            <w:gridSpan w:val="3"/>
            <w:vAlign w:val="center"/>
          </w:tcPr>
          <w:p>
            <w:pPr>
              <w:rPr>
                <w:b/>
                <w:color w:val="000000"/>
              </w:rPr>
            </w:pPr>
          </w:p>
        </w:tc>
        <w:tc>
          <w:tcPr>
            <w:tcW w:w="2636"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945" w:type="dxa"/>
            <w:gridSpan w:val="3"/>
            <w:vAlign w:val="center"/>
          </w:tcPr>
          <w:p>
            <w:pPr>
              <w:rPr>
                <w:b/>
                <w:color w:val="000000"/>
              </w:rPr>
            </w:pPr>
          </w:p>
        </w:tc>
        <w:tc>
          <w:tcPr>
            <w:tcW w:w="2636" w:type="dxa"/>
            <w:gridSpan w:val="4"/>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snapToGrid w:val="0"/>
          <w:color w:val="000000"/>
          <w:kern w:val="0"/>
          <w:sz w:val="18"/>
          <w:szCs w:val="21"/>
          <w:lang w:eastAsia="zh-CN"/>
        </w:rPr>
        <w:t>☑</w:t>
      </w:r>
      <w:r>
        <w:rPr>
          <w:rFonts w:ascii="宋体" w:hAnsi="宋体"/>
          <w:b/>
          <w:color w:val="000000"/>
          <w:sz w:val="20"/>
          <w:szCs w:val="20"/>
        </w:rPr>
        <w:t>QMS/</w:t>
      </w:r>
      <w:r>
        <w:rPr>
          <w:rFonts w:hint="eastAsia" w:ascii="宋体" w:hAnsi="宋体"/>
          <w:snapToGrid w:val="0"/>
          <w:color w:val="000000"/>
          <w:kern w:val="0"/>
          <w:sz w:val="18"/>
          <w:szCs w:val="21"/>
          <w:lang w:eastAsia="zh-CN"/>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B</w:t>
      </w:r>
      <w:r>
        <w:rPr>
          <w:rFonts w:hint="eastAsia" w:ascii="宋体" w:hAnsi="宋体"/>
          <w:b/>
          <w:color w:val="000000"/>
          <w:spacing w:val="-10"/>
          <w:sz w:val="20"/>
          <w:szCs w:val="20"/>
          <w:u w:val="single"/>
        </w:rPr>
        <w:t>/0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B</w:t>
      </w:r>
      <w:r>
        <w:rPr>
          <w:rFonts w:hint="eastAsia" w:ascii="宋体" w:hAnsi="宋体"/>
          <w:b/>
          <w:color w:val="000000"/>
          <w:spacing w:val="-10"/>
          <w:sz w:val="20"/>
          <w:szCs w:val="20"/>
          <w:u w:val="single"/>
        </w:rPr>
        <w:t>/0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numPr>
          <w:ilvl w:val="0"/>
          <w:numId w:val="2"/>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95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重庆星联云科科技发展有限公司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重庆市南岸区玉马路8号B栋</w:t>
            </w:r>
            <w:bookmarkEnd w:id="3"/>
          </w:p>
        </w:tc>
        <w:tc>
          <w:tcPr>
            <w:tcW w:w="957"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843" w:type="dxa"/>
          </w:tcPr>
          <w:p>
            <w:pPr>
              <w:spacing w:line="280" w:lineRule="exact"/>
              <w:rPr>
                <w:rFonts w:ascii="宋体"/>
                <w:b/>
                <w:color w:val="000000"/>
                <w:sz w:val="20"/>
                <w:szCs w:val="20"/>
              </w:rPr>
            </w:pPr>
            <w:bookmarkStart w:id="4" w:name="注册邮编"/>
            <w:r>
              <w:rPr>
                <w:rFonts w:ascii="宋体"/>
                <w:b/>
                <w:color w:val="000000"/>
                <w:sz w:val="20"/>
                <w:szCs w:val="20"/>
              </w:rPr>
              <w:t>400000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957" w:type="dxa"/>
            <w:vMerge w:val="continue"/>
            <w:vAlign w:val="center"/>
          </w:tcPr>
          <w:p>
            <w:pPr>
              <w:spacing w:line="280" w:lineRule="exact"/>
              <w:jc w:val="center"/>
              <w:rPr>
                <w:rFonts w:ascii="宋体"/>
                <w:b/>
                <w:color w:val="000000"/>
                <w:sz w:val="20"/>
                <w:szCs w:val="20"/>
              </w:rPr>
            </w:pPr>
          </w:p>
        </w:tc>
        <w:tc>
          <w:tcPr>
            <w:tcW w:w="1843"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重庆市渝北区冉家坝扬子江商务小区1-19-3</w:t>
            </w:r>
            <w:bookmarkEnd w:id="7"/>
          </w:p>
        </w:tc>
        <w:tc>
          <w:tcPr>
            <w:tcW w:w="957" w:type="dxa"/>
            <w:vMerge w:val="continue"/>
            <w:vAlign w:val="center"/>
          </w:tcPr>
          <w:p>
            <w:pPr>
              <w:spacing w:line="280" w:lineRule="exact"/>
              <w:jc w:val="center"/>
              <w:rPr>
                <w:rFonts w:ascii="宋体"/>
                <w:b/>
                <w:color w:val="000000"/>
                <w:sz w:val="20"/>
                <w:szCs w:val="20"/>
              </w:rPr>
            </w:pPr>
          </w:p>
        </w:tc>
        <w:tc>
          <w:tcPr>
            <w:tcW w:w="1843" w:type="dxa"/>
          </w:tcPr>
          <w:p>
            <w:pPr>
              <w:spacing w:line="280" w:lineRule="exact"/>
              <w:rPr>
                <w:rFonts w:ascii="宋体"/>
                <w:b/>
                <w:color w:val="000000"/>
                <w:sz w:val="20"/>
                <w:szCs w:val="20"/>
              </w:rPr>
            </w:pPr>
            <w:bookmarkStart w:id="8" w:name="生产邮编Add1"/>
            <w:r>
              <w:rPr>
                <w:rFonts w:ascii="宋体"/>
                <w:b/>
                <w:color w:val="00000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邱玉姗</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023-63637455</w:t>
            </w:r>
            <w:bookmarkEnd w:id="10"/>
          </w:p>
        </w:tc>
        <w:tc>
          <w:tcPr>
            <w:tcW w:w="95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843"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张晓松</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邱玉姗</w:t>
            </w:r>
            <w:bookmarkEnd w:id="13"/>
          </w:p>
        </w:tc>
        <w:tc>
          <w:tcPr>
            <w:tcW w:w="957" w:type="dxa"/>
          </w:tcPr>
          <w:p>
            <w:pPr>
              <w:jc w:val="center"/>
              <w:rPr>
                <w:rFonts w:ascii="宋体"/>
                <w:b/>
                <w:color w:val="000000"/>
                <w:sz w:val="20"/>
                <w:szCs w:val="20"/>
              </w:rPr>
            </w:pPr>
            <w:r>
              <w:rPr>
                <w:rFonts w:hint="eastAsia" w:ascii="宋体"/>
                <w:b/>
                <w:color w:val="000000"/>
                <w:sz w:val="20"/>
                <w:szCs w:val="20"/>
              </w:rPr>
              <w:t>邮箱</w:t>
            </w:r>
          </w:p>
        </w:tc>
        <w:tc>
          <w:tcPr>
            <w:tcW w:w="1843" w:type="dxa"/>
          </w:tcPr>
          <w:p>
            <w:pPr>
              <w:rPr>
                <w:rFonts w:ascii="宋体"/>
                <w:b/>
                <w:color w:val="000000"/>
                <w:sz w:val="20"/>
                <w:szCs w:val="20"/>
              </w:rPr>
            </w:pPr>
            <w:bookmarkStart w:id="14" w:name="联系人邮箱Add1"/>
            <w:r>
              <w:rPr>
                <w:rFonts w:ascii="宋体"/>
                <w:b/>
                <w:color w:val="000000"/>
                <w:sz w:val="20"/>
                <w:szCs w:val="20"/>
              </w:rPr>
              <w:t>28163948@qq.com</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农业物联网系统设计及销售</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29.12.00;33.02.01;34.05.00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hAnsi="宋体" w:cs="宋体"/>
          <w:color w:val="000000"/>
          <w:szCs w:val="24"/>
          <w:lang w:eastAsia="zh-CN"/>
        </w:rPr>
      </w:pPr>
      <w:r>
        <w:rPr>
          <w:rFonts w:hint="eastAsia" w:ascii="宋体" w:hAnsi="宋体"/>
          <w:b/>
          <w:color w:val="000000"/>
          <w:sz w:val="20"/>
          <w:szCs w:val="20"/>
        </w:rPr>
        <w:t>部门：</w:t>
      </w:r>
      <w:r>
        <w:rPr>
          <w:rFonts w:hint="eastAsia" w:ascii="宋体" w:hAnsi="宋体" w:cs="宋体"/>
          <w:color w:val="000000"/>
          <w:szCs w:val="24"/>
          <w:lang w:eastAsia="zh-CN"/>
        </w:rPr>
        <w:t>供销部、技术部、行政部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lang w:eastAsia="zh-CN"/>
        </w:rPr>
        <w:t>重庆市渝北区冉家坝扬子江商务小区1-19-3</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）质量管理体系是否删减</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3</w:t>
            </w:r>
            <w:r>
              <w:rPr>
                <w:rFonts w:hint="eastAsia" w:ascii="宋体" w:hAnsi="宋体"/>
                <w:color w:val="000000" w:themeColor="text1"/>
                <w:sz w:val="20"/>
                <w:szCs w:val="20"/>
                <w14:textFill>
                  <w14:solidFill>
                    <w14:schemeClr w14:val="tx1"/>
                  </w14:solidFill>
                </w14:textFill>
              </w:rPr>
              <w:t xml:space="preserve">）删减是否合理 </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合理</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）是否进行了过程识别，</w:t>
            </w:r>
            <w:r>
              <w:rPr>
                <w:rFonts w:ascii="宋体" w:hAnsi="宋体"/>
                <w:color w:val="000000" w:themeColor="text1"/>
                <w:sz w:val="20"/>
                <w:szCs w:val="20"/>
                <w14:textFill>
                  <w14:solidFill>
                    <w14:schemeClr w14:val="tx1"/>
                  </w14:solidFill>
                </w14:textFill>
              </w:rPr>
              <w:t xml:space="preserve"> </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）是否有特殊过程</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MS Mincho" w:hAnsi="MS Mincho" w:cs="MS Mincho"/>
                <w:b/>
                <w:color w:val="000000" w:themeColor="text1"/>
                <w:spacing w:val="-10"/>
                <w:szCs w:val="21"/>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（6）是否有外包过程</w:t>
            </w:r>
          </w:p>
        </w:tc>
        <w:tc>
          <w:tcPr>
            <w:tcW w:w="970" w:type="dxa"/>
            <w:gridSpan w:val="2"/>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b/>
                <w:color w:val="000000"/>
                <w:sz w:val="20"/>
                <w:szCs w:val="20"/>
              </w:rPr>
              <w:t>农业物联网系统设计及销售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供销部、技术部、行政部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lang w:eastAsia="zh-CN"/>
              </w:rPr>
              <w:t>管理体系推进部门：行政部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技术部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hint="eastAsia" w:ascii="宋体" w:hAnsi="宋体"/>
                <w:szCs w:val="21"/>
                <w:lang w:val="en-US" w:eastAsia="zh-CN"/>
              </w:rPr>
              <w:t>重庆市渝北区冉家坝扬子江商务小区1-19-3</w:t>
            </w: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color w:val="000000" w:themeColor="text1"/>
                <w:sz w:val="20"/>
                <w:szCs w:val="20"/>
                <w14:textFill>
                  <w14:solidFill>
                    <w14:schemeClr w14:val="tx1"/>
                  </w14:solidFill>
                </w14:textFill>
              </w:rPr>
            </w:pPr>
            <w:r>
              <w:rPr>
                <w:rFonts w:hint="eastAsia" w:ascii="宋体" w:hAnsi="宋体"/>
                <w:color w:val="000000"/>
                <w:sz w:val="20"/>
                <w:szCs w:val="20"/>
              </w:rPr>
              <w:t>其使用的建筑设施是：</w:t>
            </w:r>
            <w:bookmarkStart w:id="17" w:name="_GoBack"/>
            <w:bookmarkEnd w:id="17"/>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自</w:t>
            </w:r>
            <w:r>
              <w:rPr>
                <w:rFonts w:hint="eastAsia" w:ascii="宋体" w:hAnsi="宋体"/>
                <w:color w:val="000000" w:themeColor="text1"/>
                <w:sz w:val="20"/>
                <w:szCs w:val="20"/>
                <w:lang w:eastAsia="zh-CN"/>
                <w14:textFill>
                  <w14:solidFill>
                    <w14:schemeClr w14:val="tx1"/>
                  </w14:solidFill>
                </w14:textFill>
              </w:rPr>
              <w:t>有</w:t>
            </w:r>
            <w:r>
              <w:rPr>
                <w:rFonts w:hint="eastAsia" w:ascii="宋体" w:hAnsi="宋体"/>
                <w:color w:val="000000" w:themeColor="text1"/>
                <w:sz w:val="20"/>
                <w:szCs w:val="20"/>
                <w14:textFill>
                  <w14:solidFill>
                    <w14:schemeClr w14:val="tx1"/>
                  </w14:solidFill>
                </w14:textFill>
              </w:rPr>
              <w:t>办公用房</w:t>
            </w:r>
            <w:r>
              <w:rPr>
                <w:rFonts w:hint="eastAsia" w:ascii="宋体" w:hAnsi="宋体"/>
                <w:color w:val="0000FF"/>
                <w:sz w:val="20"/>
                <w:szCs w:val="20"/>
              </w:rPr>
              <w:t xml:space="preserve"> </w:t>
            </w:r>
            <w:r>
              <w:rPr>
                <w:rFonts w:hint="eastAsia" w:ascii="宋体" w:hAnsi="宋体"/>
                <w:color w:val="000000"/>
                <w:sz w:val="20"/>
                <w:szCs w:val="20"/>
              </w:rPr>
              <w:t xml:space="preserve">   □自建厂房 </w:t>
            </w:r>
            <w:r>
              <w:rPr>
                <w:rFonts w:hint="eastAsia"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 xml:space="preserve">租用办公用房   </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租用厂房</w:t>
            </w:r>
          </w:p>
          <w:p>
            <w:pPr>
              <w:tabs>
                <w:tab w:val="left" w:pos="360"/>
              </w:tabs>
              <w:ind w:left="357" w:hanging="357"/>
              <w:rPr>
                <w:rFonts w:ascii="宋体" w:hAnsi="宋体"/>
                <w:color w:val="000000"/>
                <w:spacing w:val="-1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 xml:space="preserve">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14:textFill>
                  <w14:solidFill>
                    <w14:schemeClr w14:val="tx1"/>
                  </w14:solidFill>
                </w14:textFill>
              </w:rPr>
              <w:t>运作方式：</w:t>
            </w:r>
            <w:r>
              <w:rPr>
                <w:rFonts w:hint="eastAsia" w:ascii="宋体"/>
                <w:color w:val="000000"/>
                <w:sz w:val="20"/>
                <w:szCs w:val="20"/>
              </w:rPr>
              <w:t>☑白班生产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400" w:lineRule="exact"/>
              <w:rPr>
                <w:rFonts w:hint="eastAsia" w:ascii="宋体" w:hAnsi="宋体" w:eastAsia="宋体" w:cs="Times New Roman"/>
                <w:color w:val="000000" w:themeColor="text1"/>
                <w:spacing w:val="-10"/>
                <w:sz w:val="20"/>
                <w:szCs w:val="20"/>
                <w14:textFill>
                  <w14:solidFill>
                    <w14:schemeClr w14:val="tx1"/>
                  </w14:solidFill>
                </w14:textFill>
              </w:rPr>
            </w:pPr>
            <w:r>
              <w:rPr>
                <w:rFonts w:hint="eastAsia" w:ascii="宋体"/>
                <w:color w:val="000000"/>
                <w:sz w:val="20"/>
                <w:szCs w:val="20"/>
                <w:lang w:eastAsia="zh-CN"/>
              </w:rPr>
              <w:t>☑</w:t>
            </w:r>
            <w:r>
              <w:rPr>
                <w:rFonts w:hint="eastAsia" w:ascii="宋体" w:hAnsi="宋体"/>
                <w:color w:val="000000" w:themeColor="text1"/>
                <w:spacing w:val="-10"/>
                <w:sz w:val="20"/>
                <w:szCs w:val="20"/>
                <w14:textFill>
                  <w14:solidFill>
                    <w14:schemeClr w14:val="tx1"/>
                  </w14:solidFill>
                </w14:textFill>
              </w:rPr>
              <w:t>产品技术标准号：</w:t>
            </w:r>
            <w:r>
              <w:rPr>
                <w:rFonts w:hint="eastAsia" w:ascii="宋体" w:hAnsi="宋体" w:eastAsia="宋体" w:cs="Times New Roman"/>
                <w:color w:val="000000" w:themeColor="text1"/>
                <w:spacing w:val="-10"/>
                <w:sz w:val="20"/>
                <w:szCs w:val="20"/>
                <w14:textFill>
                  <w14:solidFill>
                    <w14:schemeClr w14:val="tx1"/>
                  </w14:solidFill>
                </w14:textFill>
              </w:rPr>
              <w:t>《农业物联网 信息服务 终端数据交换规范 DB34/T 2383-2015》、《农业物联网平台基础代码集 DB37/T 2872-2016》、《农业物联网平台基础数据元 DB37/T 2873-2016》、《农业物联网平台基础数据采集规范 DB37/T 2874-2016》、《1GB50150－91《电气装置安装工程电气设备交接试验标准》、《2GB 4859-84 电气设备的抗干扰特性基本测量方法》、《3GB/T4728.2--1998电气简图用图形符号 和其他常用符号》、</w:t>
            </w:r>
            <w:r>
              <w:rPr>
                <w:rFonts w:hint="eastAsia" w:ascii="宋体" w:hAnsi="宋体" w:eastAsia="宋体" w:cs="Times New Roman"/>
                <w:color w:val="000000" w:themeColor="text1"/>
                <w:spacing w:val="-10"/>
                <w:sz w:val="20"/>
                <w:szCs w:val="20"/>
                <w:lang w:eastAsia="zh-CN"/>
                <w14:textFill>
                  <w14:solidFill>
                    <w14:schemeClr w14:val="tx1"/>
                  </w14:solidFill>
                </w14:textFill>
              </w:rPr>
              <w:t>等标准，</w:t>
            </w:r>
            <w:r>
              <w:rPr>
                <w:rFonts w:hint="eastAsia" w:ascii="宋体" w:hAnsi="宋体" w:eastAsia="宋体" w:cs="Times New Roman"/>
                <w:color w:val="000000" w:themeColor="text1"/>
                <w:spacing w:val="-10"/>
                <w:sz w:val="20"/>
                <w:szCs w:val="20"/>
                <w14:textFill>
                  <w14:solidFill>
                    <w14:schemeClr w14:val="tx1"/>
                  </w14:solidFill>
                </w14:textFill>
              </w:rPr>
              <w:t>合同及顾客</w:t>
            </w:r>
            <w:r>
              <w:rPr>
                <w:rFonts w:hint="eastAsia" w:ascii="宋体" w:hAnsi="宋体" w:eastAsia="宋体" w:cs="Times New Roman"/>
                <w:color w:val="000000" w:themeColor="text1"/>
                <w:spacing w:val="-10"/>
                <w:sz w:val="20"/>
                <w:szCs w:val="20"/>
                <w:lang w:eastAsia="zh-CN"/>
                <w14:textFill>
                  <w14:solidFill>
                    <w14:schemeClr w14:val="tx1"/>
                  </w14:solidFill>
                </w14:textFill>
              </w:rPr>
              <w:t>技术</w:t>
            </w:r>
            <w:r>
              <w:rPr>
                <w:rFonts w:hint="eastAsia" w:ascii="宋体" w:hAnsi="宋体" w:eastAsia="宋体" w:cs="Times New Roman"/>
                <w:color w:val="000000" w:themeColor="text1"/>
                <w:spacing w:val="-10"/>
                <w:sz w:val="20"/>
                <w:szCs w:val="20"/>
                <w14:textFill>
                  <w14:solidFill>
                    <w14:schemeClr w14:val="tx1"/>
                  </w14:solidFill>
                </w14:textFill>
              </w:rPr>
              <w:t>要求</w:t>
            </w:r>
          </w:p>
          <w:p>
            <w:pPr>
              <w:rPr>
                <w:rFonts w:ascii="宋体"/>
                <w:color w:val="000000"/>
                <w:spacing w:val="-10"/>
                <w:sz w:val="20"/>
                <w:szCs w:val="20"/>
              </w:rPr>
            </w:pP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现场是否有产品检验报告</w:t>
            </w:r>
            <w:r>
              <w:rPr>
                <w:rFonts w:ascii="宋体" w:hAnsi="宋体"/>
                <w:color w:val="000000" w:themeColor="text1"/>
                <w:spacing w:val="-10"/>
                <w:sz w:val="20"/>
                <w:szCs w:val="20"/>
                <w14:textFill>
                  <w14:solidFill>
                    <w14:schemeClr w14:val="tx1"/>
                  </w14:solidFill>
                </w14:textFill>
              </w:rPr>
              <w:t xml:space="preserve">  </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是否需要型式</w:t>
            </w:r>
            <w:r>
              <w:rPr>
                <w:rFonts w:hint="eastAsia" w:ascii="宋体" w:hAnsi="宋体"/>
                <w:color w:val="000000" w:themeColor="text1"/>
                <w:spacing w:val="-10"/>
                <w:sz w:val="20"/>
                <w:szCs w:val="20"/>
                <w14:textFill>
                  <w14:solidFill>
                    <w14:schemeClr w14:val="tx1"/>
                  </w14:solidFill>
                </w14:textFill>
              </w:rPr>
              <w:t>试验□是</w:t>
            </w:r>
            <w:r>
              <w:rPr>
                <w:rFonts w:hint="eastAsia" w:ascii="MS Mincho" w:hAnsi="MS Mincho" w:cs="MS Mincho"/>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否，是否有型式试验报告□是</w:t>
            </w:r>
            <w:r>
              <w:rPr>
                <w:rFonts w:hint="eastAsia" w:ascii="MS Mincho" w:hAnsi="MS Mincho" w:cs="MS Mincho"/>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eastAsia="宋体" w:cs="Times New Roman"/>
                <w:color w:val="000000" w:themeColor="text1"/>
                <w:spacing w:val="-10"/>
                <w:sz w:val="20"/>
                <w:szCs w:val="20"/>
                <w:lang w:eastAsia="zh-CN"/>
                <w14:textFill>
                  <w14:solidFill>
                    <w14:schemeClr w14:val="tx1"/>
                  </w14:solidFill>
                </w14:textFill>
              </w:rPr>
            </w:pPr>
            <w:r>
              <w:rPr>
                <w:rFonts w:hint="eastAsia" w:ascii="宋体" w:hAnsi="宋体" w:eastAsia="宋体" w:cs="Times New Roman"/>
                <w:color w:val="000000" w:themeColor="text1"/>
                <w:spacing w:val="-10"/>
                <w:sz w:val="20"/>
                <w:szCs w:val="20"/>
                <w:lang w:eastAsia="zh-CN"/>
                <w14:textFill>
                  <w14:solidFill>
                    <w14:schemeClr w14:val="tx1"/>
                  </w14:solidFill>
                </w14:textFill>
              </w:rPr>
              <w:t>农业物联网系统设计流程：业务洽谈—合同签订—方案设计—交付验收</w:t>
            </w:r>
          </w:p>
          <w:p>
            <w:pPr>
              <w:rPr>
                <w:rFonts w:hint="eastAsia" w:ascii="宋体" w:hAnsi="宋体"/>
                <w:color w:val="000000" w:themeColor="text1"/>
                <w:spacing w:val="-10"/>
                <w:sz w:val="20"/>
                <w:szCs w:val="20"/>
                <w14:textFill>
                  <w14:solidFill>
                    <w14:schemeClr w14:val="tx1"/>
                  </w14:solidFill>
                </w14:textFill>
              </w:rPr>
            </w:pPr>
            <w:r>
              <w:rPr>
                <w:rFonts w:hint="eastAsia" w:ascii="宋体" w:hAnsi="宋体" w:eastAsia="宋体" w:cs="Times New Roman"/>
                <w:color w:val="000000" w:themeColor="text1"/>
                <w:spacing w:val="-10"/>
                <w:sz w:val="20"/>
                <w:szCs w:val="20"/>
                <w:lang w:eastAsia="zh-CN"/>
                <w14:textFill>
                  <w14:solidFill>
                    <w14:schemeClr w14:val="tx1"/>
                  </w14:solidFill>
                </w14:textFill>
              </w:rPr>
              <w:t>农业物联网系统销售流程：签订合同→采购产品→验收产品→交付客户</w:t>
            </w:r>
            <w:r>
              <w:rPr>
                <w:rFonts w:hint="eastAsia" w:ascii="宋体" w:hAnsi="宋体" w:eastAsia="宋体" w:cs="Times New Roman"/>
                <w:color w:val="000000" w:themeColor="text1"/>
                <w:spacing w:val="-10"/>
                <w:sz w:val="20"/>
                <w:szCs w:val="20"/>
                <w:lang w:val="en-US" w:eastAsia="zh-CN"/>
                <w14:textFill>
                  <w14:solidFill>
                    <w14:schemeClr w14:val="tx1"/>
                  </w14:solidFill>
                </w14:textFill>
              </w:rPr>
              <w:t>--</w:t>
            </w:r>
            <w:r>
              <w:rPr>
                <w:rFonts w:hint="eastAsia" w:ascii="宋体" w:hAnsi="宋体" w:eastAsia="宋体" w:cs="Times New Roman"/>
                <w:color w:val="000000" w:themeColor="text1"/>
                <w:spacing w:val="-10"/>
                <w:sz w:val="20"/>
                <w:szCs w:val="20"/>
                <w:lang w:eastAsia="zh-CN"/>
                <w14:textFill>
                  <w14:solidFill>
                    <w14:schemeClr w14:val="tx1"/>
                  </w14:solidFill>
                </w14:textFill>
              </w:rPr>
              <w:t>售后服务</w:t>
            </w:r>
          </w:p>
          <w:p>
            <w:pPr>
              <w:rPr>
                <w:rFonts w:hint="eastAsia" w:ascii="宋体" w:eastAsia="宋体"/>
                <w:color w:val="000000"/>
                <w:sz w:val="20"/>
                <w:szCs w:val="20"/>
                <w:lang w:eastAsia="zh-CN"/>
              </w:rPr>
            </w:pPr>
            <w:r>
              <w:rPr>
                <w:rFonts w:hint="eastAsia" w:ascii="宋体" w:hAnsi="宋体"/>
                <w:color w:val="000000" w:themeColor="text1"/>
                <w:spacing w:val="-10"/>
                <w:sz w:val="20"/>
                <w:szCs w:val="20"/>
                <w14:textFill>
                  <w14:solidFill>
                    <w14:schemeClr w14:val="tx1"/>
                  </w14:solidFill>
                </w14:textFill>
              </w:rPr>
              <w:t>特殊过程：</w:t>
            </w:r>
            <w:r>
              <w:rPr>
                <w:rFonts w:hint="eastAsia" w:ascii="宋体" w:hAnsi="宋体"/>
                <w:color w:val="000000" w:themeColor="text1"/>
                <w:spacing w:val="-10"/>
                <w:sz w:val="20"/>
                <w:szCs w:val="20"/>
                <w:lang w:eastAsia="zh-CN"/>
                <w14:textFill>
                  <w14:solidFill>
                    <w14:schemeClr w14:val="tx1"/>
                  </w14:solidFill>
                </w14:textFill>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关键过程有：</w:t>
            </w:r>
            <w:r>
              <w:rPr>
                <w:rFonts w:hint="eastAsia" w:ascii="宋体" w:hAnsi="宋体"/>
                <w:sz w:val="20"/>
                <w:szCs w:val="20"/>
                <w:lang w:eastAsia="zh-CN"/>
              </w:rPr>
              <w:t>设计</w:t>
            </w:r>
            <w:r>
              <w:rPr>
                <w:rFonts w:hint="eastAsia" w:ascii="宋体" w:hAnsi="宋体"/>
                <w:szCs w:val="21"/>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针对关键过程建立的控制文件有</w:t>
            </w:r>
            <w:r>
              <w:rPr>
                <w:rFonts w:hint="eastAsia" w:ascii="宋体" w:hAnsi="宋体" w:eastAsia="宋体" w:cs="Times New Roman"/>
                <w:color w:val="000000" w:themeColor="text1"/>
                <w:spacing w:val="-10"/>
                <w:sz w:val="20"/>
                <w:szCs w:val="20"/>
                <w14:textFill>
                  <w14:solidFill>
                    <w14:schemeClr w14:val="tx1"/>
                  </w14:solidFill>
                </w14:textFill>
              </w:rPr>
              <w:t>：</w:t>
            </w:r>
            <w:r>
              <w:rPr>
                <w:rFonts w:hint="eastAsia" w:ascii="宋体" w:hAnsi="宋体" w:eastAsia="宋体" w:cs="Times New Roman"/>
                <w:color w:val="000000" w:themeColor="text1"/>
                <w:spacing w:val="-10"/>
                <w:sz w:val="20"/>
                <w:szCs w:val="20"/>
                <w:lang w:val="en-US" w:eastAsia="zh-CN"/>
                <w14:textFill>
                  <w14:solidFill>
                    <w14:schemeClr w14:val="tx1"/>
                  </w14:solidFill>
                </w14:textFill>
              </w:rPr>
              <w:t>设计开发控制程序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需要确认过程：</w:t>
            </w:r>
            <w:r>
              <w:rPr>
                <w:rFonts w:hint="eastAsia" w:ascii="宋体" w:hAnsi="宋体"/>
                <w:color w:val="000000" w:themeColor="text1"/>
                <w:szCs w:val="21"/>
                <w:lang w:eastAsia="zh-CN"/>
                <w14:textFill>
                  <w14:solidFill>
                    <w14:schemeClr w14:val="tx1"/>
                  </w14:solidFill>
                </w14:textFill>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是否明确了过程的确认方法□是☑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spacing w:val="-10"/>
                <w:sz w:val="20"/>
                <w:szCs w:val="20"/>
              </w:rPr>
              <w:t>外包过程有：</w:t>
            </w:r>
            <w:r>
              <w:rPr>
                <w:rFonts w:hint="eastAsia" w:ascii="宋体" w:hAnsi="宋体"/>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是否明确了外包过程的控制方法：外部供方</w:t>
            </w:r>
            <w:r>
              <w:rPr>
                <w:rFonts w:hint="eastAsia" w:ascii="宋体" w:hAnsi="宋体"/>
                <w:color w:val="000000" w:themeColor="text1"/>
                <w:spacing w:val="-10"/>
                <w:sz w:val="20"/>
                <w:szCs w:val="20"/>
                <w:lang w:eastAsia="zh-CN"/>
                <w14:textFill>
                  <w14:solidFill>
                    <w14:schemeClr w14:val="tx1"/>
                  </w14:solidFill>
                </w14:textFill>
              </w:rPr>
              <w:t>提供</w:t>
            </w:r>
            <w:r>
              <w:rPr>
                <w:rFonts w:hint="eastAsia" w:ascii="宋体" w:hAnsi="宋体"/>
                <w:color w:val="000000" w:themeColor="text1"/>
                <w:spacing w:val="-10"/>
                <w:sz w:val="20"/>
                <w:szCs w:val="20"/>
                <w14:textFill>
                  <w14:solidFill>
                    <w14:schemeClr w14:val="tx1"/>
                  </w14:solidFill>
                </w14:textFill>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eastAsia="宋体"/>
                <w:color w:val="000000"/>
                <w:spacing w:val="-10"/>
                <w:sz w:val="20"/>
                <w:szCs w:val="20"/>
                <w:lang w:eastAsia="zh-CN"/>
              </w:rPr>
            </w:pPr>
            <w:r>
              <w:rPr>
                <w:rFonts w:hint="eastAsia" w:ascii="宋体" w:hAnsi="宋体"/>
                <w:color w:val="000000"/>
                <w:spacing w:val="-10"/>
                <w:sz w:val="20"/>
                <w:szCs w:val="20"/>
              </w:rPr>
              <w:t>主要</w:t>
            </w:r>
            <w:r>
              <w:rPr>
                <w:rFonts w:hint="eastAsia" w:ascii="宋体" w:hAnsi="宋体"/>
                <w:color w:val="000000" w:themeColor="text1"/>
                <w:spacing w:val="-10"/>
                <w:sz w:val="20"/>
                <w:szCs w:val="20"/>
                <w14:textFill>
                  <w14:solidFill>
                    <w14:schemeClr w14:val="tx1"/>
                  </w14:solidFill>
                </w14:textFill>
              </w:rPr>
              <w:t>设备：</w:t>
            </w:r>
            <w:r>
              <w:rPr>
                <w:rFonts w:hint="eastAsia" w:ascii="宋体" w:hAnsi="宋体" w:eastAsia="宋体" w:cs="Times New Roman"/>
                <w:color w:val="000000" w:themeColor="text1"/>
                <w:spacing w:val="-10"/>
                <w:sz w:val="20"/>
                <w:szCs w:val="20"/>
                <w:lang w:val="en-US" w:eastAsia="zh-CN"/>
                <w14:textFill>
                  <w14:solidFill>
                    <w14:schemeClr w14:val="tx1"/>
                  </w14:solidFill>
                </w14:textFill>
              </w:rPr>
              <w:t>台式电脑、笔记本电脑、硬盘、网络储存器、电话、打印机、办公设备等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宋体" w:eastAsia="宋体"/>
                <w:color w:val="000000" w:themeColor="text1"/>
                <w:spacing w:val="-10"/>
                <w:sz w:val="20"/>
                <w:szCs w:val="20"/>
                <w:lang w:val="en-US" w:eastAsia="zh-CN"/>
                <w14:textFill>
                  <w14:solidFill>
                    <w14:schemeClr w14:val="tx1"/>
                  </w14:solidFill>
                </w14:textFill>
              </w:rPr>
            </w:pPr>
            <w:r>
              <w:rPr>
                <w:rFonts w:hint="eastAsia" w:ascii="宋体" w:hAnsi="宋体"/>
                <w:spacing w:val="-10"/>
                <w:sz w:val="20"/>
                <w:szCs w:val="20"/>
              </w:rPr>
              <w:t>特种设备</w:t>
            </w:r>
            <w:r>
              <w:rPr>
                <w:rFonts w:hint="eastAsia" w:ascii="宋体" w:hAnsi="宋体"/>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 xml:space="preserve">特种设备是否按规定检定            </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监视和测量设备（请简述主要监视和测量设备）：</w:t>
            </w:r>
            <w:r>
              <w:rPr>
                <w:rFonts w:hint="eastAsia" w:ascii="宋体" w:hAnsi="宋体"/>
                <w:color w:val="000000"/>
                <w:spacing w:val="-10"/>
                <w:sz w:val="20"/>
                <w:szCs w:val="20"/>
                <w:lang w:eastAsia="zh-CN"/>
              </w:rPr>
              <w:t>主要监视测量设备为</w:t>
            </w:r>
            <w:r>
              <w:rPr>
                <w:rFonts w:hint="eastAsia" w:ascii="宋体" w:hAnsi="宋体"/>
                <w:color w:val="000000"/>
                <w:spacing w:val="-10"/>
                <w:sz w:val="20"/>
                <w:szCs w:val="20"/>
              </w:rPr>
              <w:t>万用表、</w:t>
            </w:r>
            <w:r>
              <w:rPr>
                <w:rFonts w:hint="eastAsia" w:ascii="宋体" w:hAnsi="宋体"/>
                <w:color w:val="000000"/>
                <w:spacing w:val="-10"/>
                <w:sz w:val="20"/>
                <w:szCs w:val="20"/>
                <w:lang w:val="en-US" w:eastAsia="zh-CN"/>
              </w:rPr>
              <w:t>示波器</w:t>
            </w:r>
            <w:r>
              <w:rPr>
                <w:rFonts w:hint="eastAsia" w:ascii="宋体" w:hAnsi="宋体"/>
                <w:color w:val="000000"/>
                <w:spacing w:val="-10"/>
                <w:sz w:val="20"/>
                <w:szCs w:val="20"/>
              </w:rPr>
              <w:t>等，</w:t>
            </w:r>
            <w:r>
              <w:rPr>
                <w:rFonts w:hint="eastAsia" w:ascii="宋体" w:hAnsi="宋体"/>
                <w:color w:val="000000"/>
                <w:spacing w:val="-10"/>
                <w:sz w:val="20"/>
                <w:szCs w:val="20"/>
                <w:lang w:eastAsia="zh-CN"/>
              </w:rPr>
              <w:t>不</w:t>
            </w:r>
            <w:r>
              <w:rPr>
                <w:rFonts w:hint="eastAsia" w:ascii="宋体" w:hAnsi="宋体"/>
                <w:color w:val="000000"/>
                <w:spacing w:val="-10"/>
                <w:sz w:val="20"/>
                <w:szCs w:val="20"/>
              </w:rPr>
              <w:t>能提供</w:t>
            </w:r>
            <w:r>
              <w:rPr>
                <w:rFonts w:hint="eastAsia" w:ascii="宋体" w:hAnsi="宋体"/>
                <w:color w:val="000000"/>
                <w:spacing w:val="-10"/>
                <w:sz w:val="20"/>
                <w:szCs w:val="20"/>
                <w:lang w:eastAsia="zh-CN"/>
              </w:rPr>
              <w:t>万用表的</w:t>
            </w:r>
            <w:r>
              <w:rPr>
                <w:rFonts w:hint="eastAsia" w:ascii="宋体" w:hAnsi="宋体"/>
                <w:color w:val="000000"/>
                <w:spacing w:val="-10"/>
                <w:sz w:val="20"/>
                <w:szCs w:val="20"/>
              </w:rPr>
              <w:t>有效的校准证书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14:textFill>
                  <w14:solidFill>
                    <w14:schemeClr w14:val="tx1"/>
                  </w14:solidFill>
                </w14:textFill>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15</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技术部、销售部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重点审核场所：办公场所、</w:t>
            </w:r>
            <w:r>
              <w:rPr>
                <w:rFonts w:hint="eastAsia" w:ascii="宋体" w:hAnsi="宋体"/>
                <w:b/>
                <w:color w:val="000000"/>
                <w:sz w:val="20"/>
                <w:szCs w:val="20"/>
                <w:lang w:eastAsia="zh-CN"/>
              </w:rPr>
              <w:t>经营</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rPr>
              <w:t>2021年3月20日</w:t>
            </w:r>
            <w:r>
              <w:rPr>
                <w:rFonts w:hint="eastAsia"/>
                <w:szCs w:val="21"/>
              </w:rPr>
              <w:t>进行了内部审核。内部审核组组成：</w:t>
            </w:r>
            <w:r>
              <w:rPr>
                <w:rFonts w:hint="eastAsia" w:ascii="宋体" w:hAnsi="宋体" w:cs="宋体"/>
                <w:color w:val="000000"/>
              </w:rPr>
              <w:t>组</w:t>
            </w:r>
            <w:r>
              <w:rPr>
                <w:rFonts w:hint="eastAsia" w:ascii="宋体" w:hAnsi="宋体"/>
                <w:szCs w:val="21"/>
              </w:rPr>
              <w:t xml:space="preserve">长： </w:t>
            </w:r>
            <w:r>
              <w:rPr>
                <w:rFonts w:hint="eastAsia"/>
                <w:szCs w:val="21"/>
              </w:rPr>
              <w:t>韩非</w:t>
            </w:r>
            <w:r>
              <w:rPr>
                <w:rFonts w:hint="eastAsia" w:ascii="宋体" w:hAnsi="宋体"/>
                <w:szCs w:val="21"/>
              </w:rPr>
              <w:t xml:space="preserve">  组员： </w:t>
            </w:r>
            <w:r>
              <w:rPr>
                <w:rFonts w:hint="eastAsia"/>
                <w:szCs w:val="21"/>
              </w:rPr>
              <w:t>邱玉姗。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400" w:lineRule="exact"/>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w:t>
            </w:r>
            <w:r>
              <w:rPr>
                <w:rFonts w:hint="eastAsia"/>
                <w:szCs w:val="21"/>
                <w:lang w:eastAsia="zh-CN"/>
              </w:rPr>
              <w:t>体系</w:t>
            </w:r>
            <w:r>
              <w:rPr>
                <w:rFonts w:hint="eastAsia"/>
                <w:szCs w:val="21"/>
              </w:rPr>
              <w:t>培训。</w:t>
            </w:r>
          </w:p>
          <w:p>
            <w:pPr>
              <w:spacing w:line="40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400" w:lineRule="exact"/>
              <w:rPr>
                <w:rFonts w:hint="eastAsia"/>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w:t>
            </w:r>
            <w:r>
              <w:rPr>
                <w:rFonts w:hint="eastAsia" w:ascii="宋体" w:hAnsi="宋体"/>
                <w:kern w:val="0"/>
                <w:szCs w:val="21"/>
                <w:lang w:val="en-US" w:eastAsia="zh-CN"/>
              </w:rPr>
              <w:t>21</w:t>
            </w:r>
            <w:r>
              <w:rPr>
                <w:rFonts w:hint="eastAsia" w:ascii="宋体" w:hAnsi="宋体"/>
                <w:kern w:val="0"/>
                <w:szCs w:val="21"/>
              </w:rPr>
              <w:t>年</w:t>
            </w:r>
            <w:r>
              <w:rPr>
                <w:rFonts w:hint="eastAsia" w:ascii="宋体" w:hAnsi="宋体"/>
                <w:kern w:val="0"/>
                <w:szCs w:val="21"/>
                <w:lang w:val="en-US" w:eastAsia="zh-CN"/>
              </w:rPr>
              <w:t>3</w:t>
            </w:r>
            <w:r>
              <w:rPr>
                <w:rFonts w:hint="eastAsia" w:ascii="宋体" w:hAnsi="宋体"/>
                <w:kern w:val="0"/>
                <w:szCs w:val="21"/>
              </w:rPr>
              <w:t>月</w:t>
            </w:r>
            <w:r>
              <w:rPr>
                <w:rFonts w:hint="eastAsia" w:ascii="宋体" w:hAnsi="宋体"/>
                <w:kern w:val="0"/>
                <w:szCs w:val="21"/>
                <w:lang w:val="en-US" w:eastAsia="zh-CN"/>
              </w:rPr>
              <w:t>30</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14:textFill>
            <w14:solidFill>
              <w14:schemeClr w14:val="tx1"/>
            </w14:solidFill>
          </w14:textFill>
        </w:rPr>
      </w:pPr>
      <w:r>
        <w:rPr>
          <w:rFonts w:hint="eastAsia" w:ascii="宋体" w:hAnsi="宋体"/>
          <w:b/>
          <w:color w:val="000000"/>
          <w:sz w:val="26"/>
          <w:szCs w:val="26"/>
        </w:rPr>
        <w:t>十</w:t>
      </w:r>
      <w:r>
        <w:rPr>
          <w:rFonts w:hint="eastAsia" w:ascii="宋体" w:hAnsi="宋体"/>
          <w:b/>
          <w:color w:val="000000" w:themeColor="text1"/>
          <w:sz w:val="26"/>
          <w:szCs w:val="26"/>
          <w14:textFill>
            <w14:solidFill>
              <w14:schemeClr w14:val="tx1"/>
            </w14:solidFill>
          </w14:textFill>
        </w:rPr>
        <w:t>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 xml:space="preserve">1. </w:t>
            </w:r>
            <w:r>
              <w:rPr>
                <w:rFonts w:hint="eastAsia" w:ascii="宋体" w:hAnsi="宋体"/>
                <w:b/>
                <w:color w:val="000000" w:themeColor="text1"/>
                <w:sz w:val="20"/>
                <w:szCs w:val="20"/>
                <w14:textFill>
                  <w14:solidFill>
                    <w14:schemeClr w14:val="tx1"/>
                  </w14:solidFill>
                </w14:textFill>
              </w:rPr>
              <w:t>组织是否具备二阶段审核条件</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QMS /</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EMS/</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OHSMS)</w:t>
            </w:r>
          </w:p>
          <w:p>
            <w:pPr>
              <w:spacing w:line="280" w:lineRule="exact"/>
              <w:rPr>
                <w:rFonts w:ascii="宋体"/>
                <w:b/>
                <w:color w:val="000000" w:themeColor="text1"/>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具备</w:t>
            </w:r>
          </w:p>
          <w:p>
            <w:pPr>
              <w:tabs>
                <w:tab w:val="left" w:pos="5770"/>
              </w:tabs>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二阶段审核现场验证</w:t>
            </w:r>
            <w:r>
              <w:rPr>
                <w:rFonts w:ascii="宋体"/>
                <w:b/>
                <w:color w:val="000000" w:themeColor="text1"/>
                <w:sz w:val="20"/>
                <w:szCs w:val="20"/>
                <w14:textFill>
                  <w14:solidFill>
                    <w14:schemeClr w14:val="tx1"/>
                  </w14:solidFill>
                </w14:textFill>
              </w:rPr>
              <w:tab/>
            </w:r>
          </w:p>
          <w:p>
            <w:pPr>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二阶段审核前需完成“问题清单”的整改</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附件二</w:t>
            </w:r>
            <w:r>
              <w:rPr>
                <w:rFonts w:ascii="宋体" w:hAnsi="宋体"/>
                <w:b/>
                <w:color w:val="000000" w:themeColor="text1"/>
                <w:sz w:val="20"/>
                <w:szCs w:val="20"/>
                <w14:textFill>
                  <w14:solidFill>
                    <w14:schemeClr w14:val="tx1"/>
                  </w14:solidFill>
                </w14:textFill>
              </w:rPr>
              <w:t xml:space="preserve">)   </w:t>
            </w:r>
          </w:p>
          <w:p>
            <w:pPr>
              <w:spacing w:line="280" w:lineRule="exact"/>
              <w:rPr>
                <w:rFonts w:ascii="宋体"/>
                <w:b/>
                <w:color w:val="000000" w:themeColor="text1"/>
                <w:sz w:val="16"/>
                <w:szCs w:val="16"/>
                <w14:textFill>
                  <w14:solidFill>
                    <w14:schemeClr w14:val="tx1"/>
                  </w14:solidFill>
                </w14:textFill>
              </w:rPr>
            </w:pPr>
            <w:r>
              <w:rPr>
                <w:rFonts w:hint="eastAsia" w:ascii="宋体" w:hAnsi="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不具备</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color w:val="000000"/>
          <w:szCs w:val="21"/>
        </w:rPr>
        <w:t xml:space="preserve"> </w:t>
      </w:r>
      <w:r>
        <w:rPr>
          <w:rFonts w:ascii="宋体" w:hAnsi="宋体"/>
          <w:b/>
          <w:color w:val="000000"/>
          <w:sz w:val="20"/>
          <w:szCs w:val="20"/>
        </w:rPr>
        <w:t>农业物联网系统设计及销售</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rPr>
          <w:rFonts w:ascii="宋体"/>
          <w:b/>
          <w:bCs/>
          <w:color w:val="000000"/>
          <w:sz w:val="26"/>
          <w:szCs w:val="26"/>
        </w:rPr>
      </w:pPr>
      <w:r>
        <w:drawing>
          <wp:anchor distT="0" distB="0" distL="114300" distR="114300" simplePos="0" relativeHeight="251662336" behindDoc="0" locked="0" layoutInCell="1" allowOverlap="1">
            <wp:simplePos x="0" y="0"/>
            <wp:positionH relativeFrom="column">
              <wp:posOffset>1898015</wp:posOffset>
            </wp:positionH>
            <wp:positionV relativeFrom="paragraph">
              <wp:posOffset>194945</wp:posOffset>
            </wp:positionV>
            <wp:extent cx="371475" cy="341630"/>
            <wp:effectExtent l="0" t="0" r="9525" b="8890"/>
            <wp:wrapNone/>
            <wp:docPr id="5"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661312" behindDoc="0" locked="0" layoutInCell="1" allowOverlap="1">
            <wp:simplePos x="0" y="0"/>
            <wp:positionH relativeFrom="column">
              <wp:posOffset>1831340</wp:posOffset>
            </wp:positionH>
            <wp:positionV relativeFrom="paragraph">
              <wp:posOffset>246380</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2021年06月19日</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olor w:val="000000"/>
          <w:sz w:val="28"/>
          <w:szCs w:val="28"/>
        </w:rPr>
      </w:pPr>
      <w:r>
        <w:rPr>
          <w:rFonts w:hint="eastAsia" w:eastAsia="隶书"/>
          <w:color w:val="000000"/>
          <w:sz w:val="28"/>
          <w:szCs w:val="28"/>
        </w:rPr>
        <w:t>受审</w:t>
      </w:r>
      <w:r>
        <w:rPr>
          <w:rFonts w:hint="eastAsia" w:eastAsia="隶书" w:cs="Times New Roman"/>
          <w:color w:val="000000"/>
          <w:sz w:val="28"/>
          <w:szCs w:val="28"/>
        </w:rPr>
        <w:t>核方：重庆星联云科科技发展有限公司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5"/>
              <w:pBdr>
                <w:bottom w:val="none" w:color="auto" w:sz="0" w:space="0"/>
              </w:pBdr>
              <w:ind w:right="600"/>
              <w:jc w:val="left"/>
              <w:rPr>
                <w:rFonts w:ascii="宋体"/>
                <w:color w:val="000000" w:themeColor="text1"/>
                <w:sz w:val="24"/>
                <w:szCs w:val="24"/>
                <w14:textFill>
                  <w14:solidFill>
                    <w14:schemeClr w14:val="tx1"/>
                  </w14:solidFill>
                </w14:textFill>
              </w:rPr>
            </w:pPr>
          </w:p>
          <w:p>
            <w:pPr>
              <w:pStyle w:val="5"/>
              <w:pBdr>
                <w:bottom w:val="none" w:color="auto" w:sz="0" w:space="0"/>
              </w:pBdr>
              <w:ind w:right="600"/>
              <w:jc w:val="left"/>
              <w:rPr>
                <w:rFonts w:hint="eastAsia" w:ascii="宋体" w:eastAsia="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1</w:t>
            </w:r>
          </w:p>
          <w:p>
            <w:pPr>
              <w:pStyle w:val="5"/>
              <w:pBdr>
                <w:bottom w:val="none" w:color="auto" w:sz="0" w:space="0"/>
              </w:pBdr>
              <w:ind w:right="600"/>
              <w:jc w:val="left"/>
              <w:rPr>
                <w:rFonts w:ascii="宋体"/>
                <w:color w:val="000000" w:themeColor="text1"/>
                <w:sz w:val="24"/>
                <w:szCs w:val="24"/>
                <w14:textFill>
                  <w14:solidFill>
                    <w14:schemeClr w14:val="tx1"/>
                  </w14:solidFill>
                </w14:textFill>
              </w:rPr>
            </w:pPr>
          </w:p>
          <w:p>
            <w:pPr>
              <w:pStyle w:val="5"/>
              <w:pBdr>
                <w:bottom w:val="none" w:color="auto" w:sz="0" w:space="0"/>
              </w:pBdr>
              <w:ind w:right="600"/>
              <w:jc w:val="left"/>
              <w:rPr>
                <w:rFonts w:ascii="宋体"/>
                <w:color w:val="000000" w:themeColor="text1"/>
                <w:sz w:val="24"/>
                <w:szCs w:val="24"/>
                <w14:textFill>
                  <w14:solidFill>
                    <w14:schemeClr w14:val="tx1"/>
                  </w14:solidFill>
                </w14:textFill>
              </w:rPr>
            </w:pPr>
          </w:p>
          <w:p>
            <w:pPr>
              <w:pStyle w:val="5"/>
              <w:pBdr>
                <w:bottom w:val="none" w:color="auto" w:sz="0" w:space="0"/>
              </w:pBdr>
              <w:ind w:right="600"/>
              <w:jc w:val="left"/>
              <w:rPr>
                <w:rFonts w:ascii="宋体"/>
                <w:color w:val="000000" w:themeColor="text1"/>
                <w:sz w:val="24"/>
                <w:szCs w:val="24"/>
                <w14:textFill>
                  <w14:solidFill>
                    <w14:schemeClr w14:val="tx1"/>
                  </w14:solidFill>
                </w14:textFill>
              </w:rPr>
            </w:pPr>
          </w:p>
          <w:p>
            <w:pPr>
              <w:pStyle w:val="5"/>
              <w:pBdr>
                <w:bottom w:val="none" w:color="auto" w:sz="0" w:space="0"/>
              </w:pBdr>
              <w:ind w:right="600"/>
              <w:jc w:val="left"/>
              <w:rPr>
                <w:rFonts w:ascii="宋体"/>
                <w:color w:val="000000" w:themeColor="text1"/>
                <w:sz w:val="24"/>
                <w:szCs w:val="24"/>
                <w14:textFill>
                  <w14:solidFill>
                    <w14:schemeClr w14:val="tx1"/>
                  </w14:solidFill>
                </w14:textFill>
              </w:rPr>
            </w:pPr>
          </w:p>
          <w:p>
            <w:pPr>
              <w:pStyle w:val="5"/>
              <w:pBdr>
                <w:bottom w:val="none" w:color="auto" w:sz="0" w:space="0"/>
              </w:pBdr>
              <w:ind w:right="600"/>
              <w:jc w:val="left"/>
              <w:rPr>
                <w:rFonts w:ascii="宋体"/>
                <w:color w:val="000000" w:themeColor="text1"/>
                <w:sz w:val="24"/>
                <w:szCs w:val="24"/>
                <w14:textFill>
                  <w14:solidFill>
                    <w14:schemeClr w14:val="tx1"/>
                  </w14:solidFill>
                </w14:textFill>
              </w:rPr>
            </w:pPr>
          </w:p>
          <w:p>
            <w:pPr>
              <w:pStyle w:val="5"/>
              <w:pBdr>
                <w:bottom w:val="none" w:color="auto" w:sz="0" w:space="0"/>
              </w:pBdr>
              <w:ind w:right="600"/>
              <w:jc w:val="left"/>
              <w:rPr>
                <w:rFonts w:hint="eastAsia" w:ascii="宋体" w:eastAsia="宋体"/>
                <w:color w:val="000000" w:themeColor="text1"/>
                <w:sz w:val="24"/>
                <w:szCs w:val="24"/>
                <w:lang w:val="en-US" w:eastAsia="zh-CN"/>
                <w14:textFill>
                  <w14:solidFill>
                    <w14:schemeClr w14:val="tx1"/>
                  </w14:solidFill>
                </w14:textFill>
              </w:rPr>
            </w:pPr>
          </w:p>
        </w:tc>
        <w:tc>
          <w:tcPr>
            <w:tcW w:w="5681" w:type="dxa"/>
          </w:tcPr>
          <w:p>
            <w:pPr>
              <w:pStyle w:val="5"/>
              <w:pBdr>
                <w:bottom w:val="none" w:color="auto" w:sz="0" w:space="0"/>
              </w:pBdr>
              <w:tabs>
                <w:tab w:val="center" w:pos="5737"/>
                <w:tab w:val="clear" w:pos="4153"/>
              </w:tabs>
              <w:ind w:firstLine="420" w:firstLineChars="200"/>
              <w:jc w:val="left"/>
              <w:rPr>
                <w:rFonts w:ascii="宋体" w:hAnsi="宋体" w:cs="宋体"/>
                <w:color w:val="000000" w:themeColor="text1"/>
                <w:sz w:val="21"/>
                <w:szCs w:val="21"/>
                <w14:textFill>
                  <w14:solidFill>
                    <w14:schemeClr w14:val="tx1"/>
                  </w14:solidFill>
                </w14:textFill>
              </w:rPr>
            </w:pPr>
          </w:p>
          <w:p>
            <w:pPr>
              <w:tabs>
                <w:tab w:val="left" w:pos="330"/>
              </w:tabs>
              <w:spacing w:line="276" w:lineRule="auto"/>
              <w:ind w:firstLine="360"/>
              <w:rPr>
                <w:rFonts w:hint="eastAsia" w:ascii="Calibri" w:hAnsi="Calibri" w:eastAsia="宋体" w:cs="Times New Roman"/>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1"/>
                <w:lang w:val="en-US" w:eastAsia="zh-CN" w:bidi="ar-SA"/>
                <w14:textFill>
                  <w14:solidFill>
                    <w14:schemeClr w14:val="tx1"/>
                  </w14:solidFill>
                </w14:textFill>
              </w:rPr>
              <w:t>技术部目前使用的监视测量设备为：万用表、示波器等，能满足监视和测量所需。</w:t>
            </w:r>
          </w:p>
          <w:p>
            <w:pPr>
              <w:pStyle w:val="5"/>
              <w:pBdr>
                <w:bottom w:val="none" w:color="auto" w:sz="0" w:space="0"/>
              </w:pBdr>
              <w:tabs>
                <w:tab w:val="center" w:pos="5737"/>
                <w:tab w:val="clear" w:pos="4153"/>
              </w:tabs>
              <w:ind w:firstLine="420" w:firstLineChars="200"/>
              <w:jc w:val="left"/>
              <w:rPr>
                <w:rFonts w:hint="eastAsia" w:ascii="Calibri" w:hAnsi="Calibri" w:eastAsia="宋体" w:cs="Times New Roman"/>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1"/>
                <w:lang w:val="en-US" w:eastAsia="zh-CN" w:bidi="ar-SA"/>
                <w14:textFill>
                  <w14:solidFill>
                    <w14:schemeClr w14:val="tx1"/>
                  </w14:solidFill>
                </w14:textFill>
              </w:rPr>
              <w:t>抽查组织监视测量设备检定和校准的情况，组织能提供“示波器”的有效校准证书（详见附件）。其中检测设备“万用表”组织不能提供有效的校准证书，不符合ISO9001：2015标准要求。</w:t>
            </w:r>
          </w:p>
          <w:p>
            <w:pPr>
              <w:pStyle w:val="5"/>
              <w:pBdr>
                <w:bottom w:val="none" w:color="auto" w:sz="0" w:space="0"/>
              </w:pBdr>
              <w:tabs>
                <w:tab w:val="center" w:pos="5737"/>
                <w:tab w:val="clear" w:pos="4153"/>
              </w:tabs>
              <w:ind w:firstLine="420" w:firstLineChars="200"/>
              <w:jc w:val="left"/>
              <w:rPr>
                <w:rFonts w:ascii="宋体" w:hAnsi="宋体" w:cs="宋体"/>
                <w:color w:val="000000" w:themeColor="text1"/>
                <w:sz w:val="21"/>
                <w:szCs w:val="21"/>
                <w14:textFill>
                  <w14:solidFill>
                    <w14:schemeClr w14:val="tx1"/>
                  </w14:solidFill>
                </w14:textFill>
              </w:rPr>
            </w:pPr>
          </w:p>
        </w:tc>
        <w:tc>
          <w:tcPr>
            <w:tcW w:w="1688" w:type="dxa"/>
          </w:tcPr>
          <w:p>
            <w:pPr>
              <w:pStyle w:val="5"/>
              <w:pBdr>
                <w:bottom w:val="none" w:color="auto" w:sz="0" w:space="0"/>
              </w:pBdr>
              <w:ind w:right="600"/>
              <w:jc w:val="left"/>
              <w:rPr>
                <w:color w:val="000000" w:themeColor="text1"/>
                <w:sz w:val="21"/>
                <w:szCs w:val="21"/>
                <w14:textFill>
                  <w14:solidFill>
                    <w14:schemeClr w14:val="tx1"/>
                  </w14:solidFill>
                </w14:textFill>
              </w:rPr>
            </w:pPr>
          </w:p>
          <w:p>
            <w:pPr>
              <w:pStyle w:val="5"/>
              <w:pBdr>
                <w:bottom w:val="none" w:color="auto" w:sz="0" w:space="0"/>
              </w:pBdr>
              <w:ind w:right="6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GB/T19001-2016</w:t>
            </w:r>
          </w:p>
          <w:p>
            <w:pPr>
              <w:pStyle w:val="5"/>
              <w:pBdr>
                <w:bottom w:val="none" w:color="auto" w:sz="0" w:space="0"/>
              </w:pBdr>
              <w:ind w:right="600"/>
              <w:jc w:val="left"/>
              <w:rPr>
                <w:color w:val="000000" w:themeColor="text1"/>
                <w:sz w:val="21"/>
                <w:szCs w:val="21"/>
                <w14:textFill>
                  <w14:solidFill>
                    <w14:schemeClr w14:val="tx1"/>
                  </w14:solidFill>
                </w14:textFill>
              </w:rPr>
            </w:pPr>
          </w:p>
          <w:p>
            <w:pPr>
              <w:pStyle w:val="5"/>
              <w:pBdr>
                <w:bottom w:val="none" w:color="auto" w:sz="0" w:space="0"/>
              </w:pBdr>
              <w:ind w:right="600"/>
              <w:jc w:val="left"/>
              <w:rPr>
                <w:color w:val="000000" w:themeColor="text1"/>
                <w:sz w:val="21"/>
                <w:szCs w:val="21"/>
                <w14:textFill>
                  <w14:solidFill>
                    <w14:schemeClr w14:val="tx1"/>
                  </w14:solidFill>
                </w14:textFill>
              </w:rPr>
            </w:pPr>
          </w:p>
          <w:p>
            <w:pPr>
              <w:pStyle w:val="5"/>
              <w:pBdr>
                <w:bottom w:val="none" w:color="auto" w:sz="0" w:space="0"/>
              </w:pBdr>
              <w:ind w:right="600"/>
              <w:jc w:val="left"/>
              <w:rPr>
                <w:color w:val="000000" w:themeColor="text1"/>
                <w:sz w:val="21"/>
                <w:szCs w:val="21"/>
                <w14:textFill>
                  <w14:solidFill>
                    <w14:schemeClr w14:val="tx1"/>
                  </w14:solidFill>
                </w14:textFill>
              </w:rPr>
            </w:pPr>
          </w:p>
          <w:p>
            <w:pPr>
              <w:pStyle w:val="5"/>
              <w:pBdr>
                <w:bottom w:val="none" w:color="auto" w:sz="0" w:space="0"/>
              </w:pBdr>
              <w:ind w:right="600"/>
              <w:jc w:val="left"/>
              <w:rPr>
                <w:color w:val="000000" w:themeColor="text1"/>
                <w:sz w:val="21"/>
                <w:szCs w:val="21"/>
                <w14:textFill>
                  <w14:solidFill>
                    <w14:schemeClr w14:val="tx1"/>
                  </w14:solidFill>
                </w14:textFill>
              </w:rPr>
            </w:pPr>
          </w:p>
          <w:p>
            <w:pPr>
              <w:pStyle w:val="5"/>
              <w:pBdr>
                <w:bottom w:val="none" w:color="auto" w:sz="0" w:space="0"/>
              </w:pBdr>
              <w:ind w:right="600"/>
              <w:jc w:val="left"/>
              <w:rPr>
                <w:color w:val="000000" w:themeColor="text1"/>
                <w:sz w:val="21"/>
                <w:szCs w:val="21"/>
                <w14:textFill>
                  <w14:solidFill>
                    <w14:schemeClr w14:val="tx1"/>
                  </w14:solidFill>
                </w14:textFill>
              </w:rPr>
            </w:pPr>
          </w:p>
          <w:p>
            <w:pPr>
              <w:pStyle w:val="5"/>
              <w:pBdr>
                <w:bottom w:val="none" w:color="auto" w:sz="0" w:space="0"/>
              </w:pBdr>
              <w:ind w:right="600"/>
              <w:jc w:val="left"/>
              <w:rPr>
                <w:rFonts w:hint="default" w:eastAsia="宋体"/>
                <w:color w:val="000000" w:themeColor="text1"/>
                <w:sz w:val="21"/>
                <w:szCs w:val="21"/>
                <w:lang w:val="en-US" w:eastAsia="zh-CN"/>
                <w14:textFill>
                  <w14:solidFill>
                    <w14:schemeClr w14:val="tx1"/>
                  </w14:solidFill>
                </w14:textFill>
              </w:rPr>
            </w:pPr>
          </w:p>
        </w:tc>
        <w:tc>
          <w:tcPr>
            <w:tcW w:w="1811" w:type="dxa"/>
          </w:tcPr>
          <w:p>
            <w:pPr>
              <w:pStyle w:val="5"/>
              <w:pBdr>
                <w:bottom w:val="none" w:color="auto" w:sz="0" w:space="0"/>
              </w:pBdr>
              <w:ind w:right="60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7.1.5</w:t>
            </w:r>
          </w:p>
          <w:p>
            <w:pPr>
              <w:pStyle w:val="5"/>
              <w:pBdr>
                <w:bottom w:val="none" w:color="auto" w:sz="0" w:space="0"/>
              </w:pBdr>
              <w:ind w:right="600"/>
              <w:jc w:val="left"/>
              <w:rPr>
                <w:color w:val="000000" w:themeColor="text1"/>
                <w:sz w:val="32"/>
                <w:szCs w:val="32"/>
                <w14:textFill>
                  <w14:solidFill>
                    <w14:schemeClr w14:val="tx1"/>
                  </w14:solidFill>
                </w14:textFill>
              </w:rPr>
            </w:pPr>
          </w:p>
          <w:p>
            <w:pPr>
              <w:pStyle w:val="5"/>
              <w:pBdr>
                <w:bottom w:val="none" w:color="auto" w:sz="0" w:space="0"/>
              </w:pBdr>
              <w:ind w:right="600"/>
              <w:jc w:val="left"/>
              <w:rPr>
                <w:color w:val="000000" w:themeColor="text1"/>
                <w:sz w:val="32"/>
                <w:szCs w:val="32"/>
                <w14:textFill>
                  <w14:solidFill>
                    <w14:schemeClr w14:val="tx1"/>
                  </w14:solidFill>
                </w14:textFill>
              </w:rPr>
            </w:pPr>
          </w:p>
          <w:p>
            <w:pPr>
              <w:pStyle w:val="5"/>
              <w:pBdr>
                <w:bottom w:val="none" w:color="auto" w:sz="0" w:space="0"/>
              </w:pBdr>
              <w:ind w:right="600"/>
              <w:jc w:val="left"/>
              <w:rPr>
                <w:color w:val="000000" w:themeColor="text1"/>
                <w:sz w:val="32"/>
                <w:szCs w:val="32"/>
                <w14:textFill>
                  <w14:solidFill>
                    <w14:schemeClr w14:val="tx1"/>
                  </w14:solidFill>
                </w14:textFill>
              </w:rPr>
            </w:pPr>
          </w:p>
          <w:p>
            <w:pPr>
              <w:pStyle w:val="5"/>
              <w:pBdr>
                <w:bottom w:val="none" w:color="auto" w:sz="0" w:space="0"/>
              </w:pBdr>
              <w:ind w:right="600"/>
              <w:jc w:val="left"/>
              <w:rPr>
                <w:color w:val="000000" w:themeColor="text1"/>
                <w:sz w:val="32"/>
                <w:szCs w:val="32"/>
                <w14:textFill>
                  <w14:solidFill>
                    <w14:schemeClr w14:val="tx1"/>
                  </w14:solidFill>
                </w14:textFill>
              </w:rPr>
            </w:pPr>
          </w:p>
          <w:p>
            <w:pPr>
              <w:pStyle w:val="5"/>
              <w:pBdr>
                <w:bottom w:val="none" w:color="auto" w:sz="0" w:space="0"/>
              </w:pBdr>
              <w:ind w:right="600"/>
              <w:jc w:val="left"/>
              <w:rPr>
                <w:rFonts w:hint="default" w:eastAsia="宋体"/>
                <w:color w:val="000000" w:themeColor="text1"/>
                <w:sz w:val="32"/>
                <w:szCs w:val="3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drawing>
                <wp:anchor distT="0" distB="0" distL="114300" distR="114300" simplePos="0" relativeHeight="251664384" behindDoc="0" locked="0" layoutInCell="1" allowOverlap="1">
                  <wp:simplePos x="0" y="0"/>
                  <wp:positionH relativeFrom="column">
                    <wp:posOffset>602615</wp:posOffset>
                  </wp:positionH>
                  <wp:positionV relativeFrom="paragraph">
                    <wp:posOffset>45085</wp:posOffset>
                  </wp:positionV>
                  <wp:extent cx="371475" cy="341630"/>
                  <wp:effectExtent l="0" t="0" r="9525" b="8890"/>
                  <wp:wrapNone/>
                  <wp:docPr id="7"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color w:val="000000"/>
                <w:szCs w:val="21"/>
              </w:rPr>
              <w:t xml:space="preserve">2021年06月19日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日期： </w:t>
            </w:r>
            <w:r>
              <w:rPr>
                <w:rFonts w:hint="eastAsia"/>
                <w:color w:val="000000"/>
                <w:szCs w:val="21"/>
              </w:rPr>
              <w:t xml:space="preserve">2021年06月19日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☑二阶段</w:t>
            </w:r>
            <w:r>
              <w:rPr>
                <w:rFonts w:hint="eastAsia"/>
                <w:b/>
                <w:color w:val="000000"/>
                <w:spacing w:val="-10"/>
                <w:szCs w:val="21"/>
              </w:rPr>
              <w:t>未</w:t>
            </w:r>
            <w:r>
              <w:rPr>
                <w:rFonts w:hint="eastAsia"/>
                <w:b/>
                <w:color w:val="000000"/>
                <w:szCs w:val="21"/>
              </w:rPr>
              <w:t>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drawing>
                <wp:anchor distT="0" distB="0" distL="114300" distR="114300" simplePos="0" relativeHeight="251663360" behindDoc="0" locked="0" layoutInCell="1" allowOverlap="1">
                  <wp:simplePos x="0" y="0"/>
                  <wp:positionH relativeFrom="column">
                    <wp:posOffset>526415</wp:posOffset>
                  </wp:positionH>
                  <wp:positionV relativeFrom="paragraph">
                    <wp:posOffset>227965</wp:posOffset>
                  </wp:positionV>
                  <wp:extent cx="371475" cy="341630"/>
                  <wp:effectExtent l="0" t="0" r="9525" b="8890"/>
                  <wp:wrapNone/>
                  <wp:docPr id="6"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color w:val="000000"/>
                <w:szCs w:val="21"/>
              </w:rPr>
              <w:t>2021年06月</w:t>
            </w:r>
            <w:r>
              <w:rPr>
                <w:rFonts w:hint="eastAsia"/>
                <w:color w:val="000000"/>
                <w:szCs w:val="21"/>
                <w:lang w:val="en-US" w:eastAsia="zh-CN"/>
              </w:rPr>
              <w:t>27</w:t>
            </w:r>
            <w:r>
              <w:rPr>
                <w:rFonts w:hint="eastAsia"/>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3"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p>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345.5pt;margin-top:2.2pt;height:20.2pt;width:156.25pt;z-index:251660288;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1X48zWAAAACQEAAA8AAAAAAAAAAQAgAAAAIgAA&#10;AGRycy9kb3ducmV2LnhtbFBLAQIUABQAAAAIAIdO4kAF8Pky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p>
                    <w:r>
                      <w:rPr>
                        <w:rFonts w:hint="eastAsia"/>
                        <w:sz w:val="18"/>
                        <w:szCs w:val="18"/>
                      </w:rPr>
                      <w:t>版)</w:t>
                    </w:r>
                  </w:p>
                </w:txbxContent>
              </v:textbox>
            </v:shape>
          </w:pict>
        </mc:Fallback>
      </mc:AlternateConten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766A3"/>
    <w:multiLevelType w:val="singleLevel"/>
    <w:tmpl w:val="861766A3"/>
    <w:lvl w:ilvl="0" w:tentative="0">
      <w:start w:val="1"/>
      <w:numFmt w:val="chineseCounting"/>
      <w:suff w:val="nothing"/>
      <w:lvlText w:val="%1、"/>
      <w:lvlJc w:val="left"/>
      <w:rPr>
        <w:rFonts w:hint="eastAsia"/>
      </w:rPr>
    </w:lvl>
  </w:abstractNum>
  <w:abstractNum w:abstractNumId="1">
    <w:nsid w:val="63935EF9"/>
    <w:multiLevelType w:val="singleLevel"/>
    <w:tmpl w:val="63935EF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6C65CC"/>
    <w:rsid w:val="03A83FA1"/>
    <w:rsid w:val="04FA4F73"/>
    <w:rsid w:val="073E53EB"/>
    <w:rsid w:val="08A769EB"/>
    <w:rsid w:val="0B1F24B2"/>
    <w:rsid w:val="0C8275B4"/>
    <w:rsid w:val="0D26506B"/>
    <w:rsid w:val="0F256DF2"/>
    <w:rsid w:val="0F6755B5"/>
    <w:rsid w:val="107D19A6"/>
    <w:rsid w:val="11FF7655"/>
    <w:rsid w:val="13905027"/>
    <w:rsid w:val="18241DD6"/>
    <w:rsid w:val="1B7C5D4F"/>
    <w:rsid w:val="1CB91E8D"/>
    <w:rsid w:val="1E9E0F00"/>
    <w:rsid w:val="21912F89"/>
    <w:rsid w:val="24CE6858"/>
    <w:rsid w:val="2AF40DDA"/>
    <w:rsid w:val="2AF555A2"/>
    <w:rsid w:val="2B383B52"/>
    <w:rsid w:val="37AF4BEA"/>
    <w:rsid w:val="38412413"/>
    <w:rsid w:val="3C335731"/>
    <w:rsid w:val="3C9F1D55"/>
    <w:rsid w:val="3D333694"/>
    <w:rsid w:val="3E3C0540"/>
    <w:rsid w:val="3F2266C8"/>
    <w:rsid w:val="40737706"/>
    <w:rsid w:val="40C02CBF"/>
    <w:rsid w:val="41CA360A"/>
    <w:rsid w:val="42317FF1"/>
    <w:rsid w:val="44153258"/>
    <w:rsid w:val="46F219BF"/>
    <w:rsid w:val="49916B26"/>
    <w:rsid w:val="4AC10456"/>
    <w:rsid w:val="4B62393F"/>
    <w:rsid w:val="4CC82F1C"/>
    <w:rsid w:val="4DC951D7"/>
    <w:rsid w:val="4E7F1263"/>
    <w:rsid w:val="4F163653"/>
    <w:rsid w:val="533A3EED"/>
    <w:rsid w:val="53535CF4"/>
    <w:rsid w:val="5C1C5C3E"/>
    <w:rsid w:val="5CC237FA"/>
    <w:rsid w:val="5D7A00A7"/>
    <w:rsid w:val="5DEE6D1B"/>
    <w:rsid w:val="5F8D3C9B"/>
    <w:rsid w:val="5FAB747F"/>
    <w:rsid w:val="5FE6444C"/>
    <w:rsid w:val="62D57D8A"/>
    <w:rsid w:val="62D838CB"/>
    <w:rsid w:val="640B1E0C"/>
    <w:rsid w:val="647F5BA5"/>
    <w:rsid w:val="656206D1"/>
    <w:rsid w:val="667978D5"/>
    <w:rsid w:val="6AF45348"/>
    <w:rsid w:val="6BBB1423"/>
    <w:rsid w:val="6BF216D2"/>
    <w:rsid w:val="6C3949E6"/>
    <w:rsid w:val="6C4E4063"/>
    <w:rsid w:val="6C8B60DE"/>
    <w:rsid w:val="6CB121D3"/>
    <w:rsid w:val="701F7C21"/>
    <w:rsid w:val="7165663F"/>
    <w:rsid w:val="73F04CA8"/>
    <w:rsid w:val="749F3376"/>
    <w:rsid w:val="74E06A6A"/>
    <w:rsid w:val="76530D66"/>
    <w:rsid w:val="768934B1"/>
    <w:rsid w:val="79DA1997"/>
    <w:rsid w:val="7B48571D"/>
    <w:rsid w:val="7B756E70"/>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批注框文本 Char"/>
    <w:basedOn w:val="9"/>
    <w:link w:val="3"/>
    <w:semiHidden/>
    <w:qFormat/>
    <w:locked/>
    <w:uiPriority w:val="99"/>
    <w:rPr>
      <w:rFonts w:ascii="Times New Roman" w:hAnsi="Times New Roman" w:eastAsia="宋体" w:cs="Times New Roman"/>
      <w:sz w:val="18"/>
      <w:szCs w:val="18"/>
    </w:rPr>
  </w:style>
  <w:style w:type="character" w:customStyle="1" w:styleId="12">
    <w:name w:val="页脚 Char"/>
    <w:basedOn w:val="9"/>
    <w:link w:val="4"/>
    <w:qFormat/>
    <w:locked/>
    <w:uiPriority w:val="99"/>
    <w:rPr>
      <w:rFonts w:ascii="Times New Roman" w:hAnsi="Times New Roman" w:eastAsia="宋体" w:cs="Times New Roman"/>
      <w:sz w:val="18"/>
      <w:szCs w:val="18"/>
    </w:rPr>
  </w:style>
  <w:style w:type="character" w:customStyle="1" w:styleId="13">
    <w:name w:val="页眉 Char"/>
    <w:basedOn w:val="9"/>
    <w:link w:val="5"/>
    <w:qFormat/>
    <w:locked/>
    <w:uiPriority w:val="99"/>
    <w:rPr>
      <w:rFonts w:ascii="Calibri" w:hAnsi="Calibri" w:eastAsia="宋体" w:cs="Times New Roman"/>
      <w:sz w:val="18"/>
      <w:szCs w:val="18"/>
    </w:rPr>
  </w:style>
  <w:style w:type="character" w:customStyle="1" w:styleId="14">
    <w:name w:val="副标题 Char"/>
    <w:basedOn w:val="9"/>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1222</Words>
  <Characters>6969</Characters>
  <Lines>58</Lines>
  <Paragraphs>16</Paragraphs>
  <TotalTime>0</TotalTime>
  <ScaleCrop>false</ScaleCrop>
  <LinksUpToDate>false</LinksUpToDate>
  <CharactersWithSpaces>8175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zx</cp:lastModifiedBy>
  <dcterms:modified xsi:type="dcterms:W3CDTF">2021-06-30T05:34:07Z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87EA1E7371864B7F833C3548B6E245B8</vt:lpwstr>
  </property>
</Properties>
</file>