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09"/>
        <w:gridCol w:w="90"/>
        <w:gridCol w:w="690"/>
        <w:gridCol w:w="720"/>
        <w:gridCol w:w="448"/>
        <w:gridCol w:w="693"/>
        <w:gridCol w:w="401"/>
        <w:gridCol w:w="1300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十里泉科技（重庆）有限公司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褚伟龙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13272611117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Q：计算机信息系统集成（智慧城市物联网系统；智能物业家居系统；安防及监控系统；电子智能化系统；数字广播系统）</w:t>
            </w:r>
          </w:p>
          <w:p>
            <w:r>
              <w:t>E：计算机信息系统集成（智慧城市物联网系统；智能物业家居系统；安防及监控系统；电子智能化系统；数字广播系统）所涉及的相关环境管理活动</w:t>
            </w:r>
          </w:p>
          <w:p>
            <w:r>
              <w:t>O：计算机信息系统集成（智慧城市物联网系统；智能物业家居系统；安防及监控系统；电子智能化系统；数字广播系统）所涉及的相关职业健康安全管理活动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Q：33.02.02</w:t>
            </w:r>
          </w:p>
          <w:p>
            <w:r>
              <w:t>E：33.02.02</w:t>
            </w:r>
          </w:p>
          <w:p>
            <w:r>
              <w:t>O：33.02.02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2019年11月07日 上午至2019年11月07日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6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13983696917</w:t>
            </w:r>
            <w:bookmarkStart w:id="14" w:name="_GoBack"/>
            <w:bookmarkEnd w:id="14"/>
          </w:p>
        </w:tc>
        <w:tc>
          <w:tcPr>
            <w:tcW w:w="109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2019年11月0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color w:val="000000"/>
                <w:szCs w:val="21"/>
              </w:rPr>
              <w:t>2019年11月0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0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0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2019.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11.7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0"/>
              </w:rPr>
              <w:t>：00-16：30</w:t>
            </w:r>
          </w:p>
        </w:tc>
        <w:tc>
          <w:tcPr>
            <w:tcW w:w="6665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1.确定管理层二阶段审核的重点。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2.确认体系策划部门是否按要求建立、实施、保持并持续改进了体系。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.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4.适用法律法规、技术标准识别的充分性，收集合规性的证据。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C220F3"/>
    <w:rsid w:val="227F1246"/>
    <w:rsid w:val="24294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2019-11-05T07:45:01Z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