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w:t>
            </w:r>
            <w:r>
              <w:rPr>
                <w:rFonts w:hint="eastAsia" w:asciiTheme="minorEastAsia" w:hAnsiTheme="minorEastAsia" w:eastAsiaTheme="minorEastAsia" w:cstheme="minorEastAsia"/>
                <w:color w:val="auto"/>
                <w:szCs w:val="21"/>
              </w:rPr>
              <w:t>;</w:t>
            </w:r>
            <w:r>
              <w:rPr>
                <w:color w:val="auto"/>
              </w:rPr>
              <w:t xml:space="preserve"> </w:t>
            </w:r>
            <w:r>
              <w:rPr>
                <w:rFonts w:hint="eastAsia"/>
                <w:color w:val="auto"/>
                <w:kern w:val="0"/>
                <w:sz w:val="22"/>
                <w:lang w:eastAsia="zh-CN"/>
              </w:rPr>
              <w:t>周枫</w:t>
            </w:r>
            <w:r>
              <w:rPr>
                <w:rFonts w:hint="eastAsia" w:asciiTheme="minorEastAsia" w:hAnsiTheme="minorEastAsia" w:eastAsiaTheme="minorEastAsia" w:cstheme="minorEastAsia"/>
                <w:color w:val="auto"/>
                <w:szCs w:val="21"/>
              </w:rPr>
              <w:t xml:space="preserve"> 管代 </w:t>
            </w:r>
            <w:r>
              <w:rPr>
                <w:rFonts w:hint="eastAsia"/>
                <w:color w:val="auto"/>
                <w:kern w:val="0"/>
                <w:sz w:val="22"/>
                <w:lang w:eastAsia="zh-CN"/>
              </w:rPr>
              <w:t>李蔚彧</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陪同人员：</w:t>
            </w:r>
            <w:r>
              <w:rPr>
                <w:rFonts w:hint="eastAsia"/>
                <w:color w:val="auto"/>
                <w:kern w:val="0"/>
                <w:sz w:val="22"/>
                <w:lang w:eastAsia="zh-CN"/>
              </w:rPr>
              <w:t>安杰</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姜小清</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val="en-US" w:eastAsia="zh-CN"/>
              </w:rPr>
              <w:t>2021.6.29</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rPr>
                <w:rFonts w:hint="eastAsia" w:ascii="宋体" w:hAnsi="宋体"/>
                <w:szCs w:val="21"/>
              </w:rPr>
            </w:pPr>
            <w:r>
              <w:rPr>
                <w:rFonts w:hint="eastAsia"/>
              </w:rPr>
              <w:t>审核条款：</w:t>
            </w:r>
          </w:p>
          <w:p>
            <w:pPr>
              <w:rPr>
                <w:rFonts w:hint="eastAsia" w:ascii="宋体" w:hAnsi="宋体"/>
                <w:szCs w:val="21"/>
              </w:rPr>
            </w:pPr>
            <w:r>
              <w:rPr>
                <w:rFonts w:hint="eastAsia" w:ascii="宋体" w:hAnsi="宋体"/>
                <w:szCs w:val="21"/>
              </w:rPr>
              <w:t xml:space="preserve">Q:4.1/4.2/4.3/4.4/5.1/5.2/5.3/6.1/6.2/6.3/7.1.1/9.1.1/9.3/10.1/10.3 </w:t>
            </w:r>
          </w:p>
          <w:p>
            <w:pPr>
              <w:rPr>
                <w:rFonts w:hint="eastAsia"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:4.1/4.2/4.3/4.4/5.1/5.2/5.3/6.1.1/6.1.4/6.2/7.1/</w:t>
            </w:r>
            <w:r>
              <w:rPr>
                <w:rFonts w:hint="eastAsia" w:ascii="宋体" w:hAnsi="宋体"/>
                <w:szCs w:val="21"/>
                <w:lang w:val="en-US" w:eastAsia="zh-CN"/>
              </w:rPr>
              <w:t>9.1.1/</w:t>
            </w:r>
            <w:r>
              <w:rPr>
                <w:rFonts w:hint="eastAsia" w:ascii="宋体" w:hAnsi="宋体"/>
                <w:szCs w:val="21"/>
              </w:rPr>
              <w:t>9.3/10.1/10.3</w:t>
            </w:r>
          </w:p>
          <w:p>
            <w:pPr>
              <w:rPr>
                <w:rFonts w:hint="default" w:ascii="宋体" w:hAnsi="宋体"/>
                <w:szCs w:val="21"/>
                <w:lang w:val="en-US" w:eastAsia="zh-CN"/>
              </w:rPr>
            </w:pPr>
            <w:r>
              <w:rPr>
                <w:rFonts w:hint="eastAsia" w:ascii="宋体" w:hAnsi="宋体"/>
                <w:szCs w:val="21"/>
              </w:rPr>
              <w:t>S</w:t>
            </w:r>
            <w:r>
              <w:rPr>
                <w:rFonts w:hint="eastAsia" w:ascii="宋体" w:hAnsi="宋体"/>
                <w:szCs w:val="21"/>
                <w:lang w:val="en-US" w:eastAsia="zh-CN"/>
              </w:rPr>
              <w:t>:5.4</w:t>
            </w:r>
          </w:p>
          <w:p>
            <w:r>
              <w:rPr>
                <w:rFonts w:hint="eastAsia" w:ascii="宋体" w:hAnsi="宋体"/>
                <w:szCs w:val="21"/>
              </w:rPr>
              <w:t>资质验证/范围再确认/</w:t>
            </w:r>
            <w:r>
              <w:rPr>
                <w:rFonts w:hint="eastAsia" w:ascii="宋体" w:hAnsi="宋体"/>
                <w:szCs w:val="21"/>
                <w:lang w:val="en-US" w:eastAsia="zh-CN"/>
              </w:rPr>
              <w:t>初审</w:t>
            </w:r>
            <w:r>
              <w:rPr>
                <w:rFonts w:hint="eastAsia" w:ascii="宋体" w:hAnsi="宋体"/>
                <w:szCs w:val="21"/>
              </w:rPr>
              <w:t>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一阶段问题验证</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hint="eastAsia" w:asciiTheme="minorEastAsia" w:hAnsiTheme="minorEastAsia" w:eastAsiaTheme="minorEastAsia" w:cstheme="minorEastAsia"/>
                <w:szCs w:val="21"/>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bookmarkStart w:id="0" w:name="组织名称"/>
            <w:r>
              <w:rPr>
                <w:rFonts w:hint="eastAsia" w:asciiTheme="minorEastAsia" w:hAnsiTheme="minorEastAsia" w:eastAsiaTheme="minorEastAsia" w:cstheme="minorEastAsia"/>
                <w:szCs w:val="21"/>
              </w:rPr>
              <w:t>北京盛鑫嘉华环保科技有限公司</w:t>
            </w:r>
            <w:bookmarkEnd w:id="0"/>
            <w:r>
              <w:rPr>
                <w:rFonts w:hint="eastAsia" w:asciiTheme="minorEastAsia" w:hAnsiTheme="minorEastAsia" w:eastAsiaTheme="minorEastAsia" w:cstheme="minorEastAsia"/>
                <w:szCs w:val="21"/>
                <w:lang w:val="en-US" w:eastAsia="zh-CN"/>
              </w:rPr>
              <w:t>，  注册地址：</w:t>
            </w:r>
            <w:r>
              <w:rPr>
                <w:rFonts w:hint="eastAsia" w:asciiTheme="minorEastAsia" w:hAnsiTheme="minorEastAsia" w:eastAsiaTheme="minorEastAsia" w:cstheme="minorEastAsia"/>
                <w:szCs w:val="21"/>
              </w:rPr>
              <w:t>北京市丰台区丰台科学城航丰路8号三幢楼五层B5118房(园区)</w:t>
            </w:r>
            <w:r>
              <w:rPr>
                <w:rFonts w:hint="eastAsia" w:asciiTheme="minorEastAsia" w:hAnsiTheme="minorEastAsia" w:eastAsiaTheme="minorEastAsia" w:cstheme="minorEastAsia"/>
                <w:szCs w:val="21"/>
                <w:lang w:val="en-US" w:eastAsia="zh-CN"/>
              </w:rPr>
              <w:t>，统一社会信用代码：</w:t>
            </w:r>
            <w:r>
              <w:rPr>
                <w:rFonts w:hint="eastAsia" w:asciiTheme="minorEastAsia" w:hAnsiTheme="minorEastAsia" w:eastAsiaTheme="minorEastAsia" w:cstheme="minorEastAsia"/>
                <w:szCs w:val="21"/>
              </w:rPr>
              <w:t>9111010669325140X7</w:t>
            </w:r>
            <w:r>
              <w:rPr>
                <w:rFonts w:hint="eastAsia" w:asciiTheme="minorEastAsia" w:hAnsiTheme="minorEastAsia" w:eastAsiaTheme="minorEastAsia" w:cstheme="minorEastAsia"/>
                <w:szCs w:val="21"/>
                <w:lang w:val="en-US" w:eastAsia="zh-CN"/>
              </w:rPr>
              <w:t>；  经营期限：</w:t>
            </w:r>
            <w:r>
              <w:rPr>
                <w:rFonts w:hint="eastAsia" w:asciiTheme="minorEastAsia" w:hAnsiTheme="minorEastAsia" w:eastAsiaTheme="minorEastAsia" w:cstheme="minorEastAsia"/>
                <w:szCs w:val="21"/>
              </w:rPr>
              <w:t>2009-08-19 至 2029-08-18</w:t>
            </w:r>
            <w:r>
              <w:rPr>
                <w:rFonts w:hint="eastAsia" w:asciiTheme="minorEastAsia" w:hAnsiTheme="minorEastAsia" w:eastAsiaTheme="minorEastAsia" w:cstheme="minorEastAsia"/>
                <w:szCs w:val="21"/>
                <w:lang w:val="en-US" w:eastAsia="zh-CN"/>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范围：加工环保草毯（限分支机构经营）；技术开发、技术咨询、技术服务、技术转让；城市园林绿化；专业承包；货物进出口业务；销售环保草毯。（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公司管理体系设置了管理层</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综合</w:t>
            </w:r>
            <w:r>
              <w:rPr>
                <w:rFonts w:hint="eastAsia" w:asciiTheme="minorEastAsia" w:hAnsiTheme="minorEastAsia" w:eastAsiaTheme="minorEastAsia" w:cstheme="minorEastAsia"/>
                <w:szCs w:val="21"/>
              </w:rPr>
              <w:t>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项目</w:t>
            </w:r>
            <w:r>
              <w:rPr>
                <w:rFonts w:hint="eastAsia" w:asciiTheme="minorEastAsia" w:hAnsiTheme="minorEastAsia" w:eastAsiaTheme="minorEastAsia" w:cstheme="minorEastAsia"/>
                <w:szCs w:val="21"/>
              </w:rPr>
              <w:t>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工程</w:t>
            </w:r>
            <w:r>
              <w:rPr>
                <w:rFonts w:hint="eastAsia" w:asciiTheme="minorEastAsia" w:hAnsiTheme="minorEastAsia" w:eastAsiaTheme="minorEastAsia" w:cstheme="minorEastAsia"/>
                <w:szCs w:val="21"/>
              </w:rPr>
              <w:t>部</w:t>
            </w:r>
          </w:p>
          <w:p>
            <w:pPr>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职业健康管理体系</w:t>
            </w:r>
            <w:r>
              <w:rPr>
                <w:rFonts w:hint="eastAsia" w:asciiTheme="minorEastAsia" w:hAnsiTheme="minorEastAsia" w:eastAsiaTheme="minorEastAsia" w:cstheme="minorEastAsia"/>
                <w:szCs w:val="21"/>
              </w:rPr>
              <w:t>认证范围：</w:t>
            </w:r>
          </w:p>
          <w:p>
            <w:pPr>
              <w:rPr>
                <w:rFonts w:hint="eastAsia" w:asciiTheme="minorEastAsia" w:hAnsiTheme="minorEastAsia" w:eastAsiaTheme="minorEastAsia" w:cstheme="minorEastAsia"/>
                <w:szCs w:val="21"/>
              </w:rPr>
            </w:pPr>
            <w:bookmarkStart w:id="1" w:name="审核范围"/>
            <w:r>
              <w:rPr>
                <w:rFonts w:hint="eastAsia" w:asciiTheme="minorEastAsia" w:hAnsiTheme="minorEastAsia" w:eastAsiaTheme="minorEastAsia" w:cstheme="minorEastAsia"/>
                <w:szCs w:val="21"/>
              </w:rPr>
              <w:t>O：园林绿化服务及相关职业健康安全管理活动</w:t>
            </w:r>
            <w:bookmarkEnd w:id="1"/>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查国家企业信用信息公示系统，企业无异常经营记录、无违法失信记录。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对于企业的外包过程也进行了充分识别，公司无外包</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一阶段问题已经完成，验证：结果有效。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投诉或事故:无      政府主管部门监督抽查情况:无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rPr>
                <w:rFonts w:hint="eastAsia"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p>
          <w:p>
            <w:pPr>
              <w:rPr>
                <w:rFonts w:hint="eastAsia" w:asciiTheme="minorEastAsia" w:hAnsiTheme="minorEastAsia" w:eastAsiaTheme="minorEastAsia" w:cstheme="minorEastAsia"/>
                <w:szCs w:val="21"/>
              </w:rPr>
            </w:pPr>
          </w:p>
        </w:tc>
        <w:tc>
          <w:tcPr>
            <w:tcW w:w="10268" w:type="dxa"/>
          </w:tcPr>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asciiTheme="minorEastAsia" w:hAnsiTheme="minorEastAsia" w:eastAsiaTheme="minorEastAsia" w:cstheme="minorEastAsia"/>
                <w:szCs w:val="21"/>
                <w:lang w:eastAsia="zh-CN"/>
              </w:rPr>
              <w:t>周枫</w:t>
            </w:r>
            <w:r>
              <w:rPr>
                <w:rFonts w:hint="eastAsia" w:asciiTheme="minorEastAsia" w:hAnsiTheme="minorEastAsia" w:eastAsiaTheme="minorEastAsia" w:cstheme="minorEastAsia"/>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公司主要业务为园林绿化服务，客户覆盖全国学校、机关、企事业单位以及个人家庭；公司采用经理负责制，层层把关，让用户真正放心。</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内部环境：资源因素－公司提供符合上述产品生产</w:t>
            </w:r>
            <w:r>
              <w:rPr>
                <w:rFonts w:hint="eastAsia" w:asciiTheme="minorEastAsia" w:hAnsiTheme="minorEastAsia" w:eastAsiaTheme="minorEastAsia" w:cstheme="minorEastAsia"/>
                <w:szCs w:val="21"/>
              </w:rPr>
              <w:t>服务的场所，配备适宜的硬件和软件设施设备。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城市园林绿化服务设备有：铁锹、铁镐、手据、园艺剪、割草机、粗枝剪、打草机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办公设备:电脑/打印机/传真机/电话等。提供维修保养计划及记录，满足要求。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环保设施包括：灭火器、垃圾桶；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安全设施配置主要有：标识牌、灭火器、消防器材等，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p>
            <w:pPr>
              <w:rPr>
                <w:rFonts w:hint="eastAsia" w:asciiTheme="minorEastAsia" w:hAnsiTheme="minorEastAsia" w:eastAsiaTheme="minorEastAsia" w:cstheme="minorEastAsia"/>
                <w:szCs w:val="21"/>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asciiTheme="minorEastAsia" w:hAnsiTheme="minorEastAsia" w:eastAsiaTheme="minorEastAsia" w:cstheme="minorEastAsia"/>
                <w:szCs w:val="21"/>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确定管理体系的范围</w:t>
            </w:r>
          </w:p>
          <w:p>
            <w:pPr>
              <w:rPr>
                <w:rFonts w:hint="eastAsia" w:asciiTheme="minorEastAsia" w:hAnsiTheme="minorEastAsia" w:eastAsiaTheme="minorEastAsia" w:cstheme="minorEastAsia"/>
                <w:szCs w:val="21"/>
                <w:lang w:val="en-US" w:eastAsia="zh-CN"/>
              </w:rPr>
            </w:pPr>
          </w:p>
        </w:tc>
        <w:tc>
          <w:tcPr>
            <w:tcW w:w="9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p>
          <w:p>
            <w:pPr>
              <w:rPr>
                <w:rFonts w:hint="eastAsia" w:asciiTheme="minorEastAsia" w:hAnsiTheme="minorEastAsia" w:eastAsiaTheme="minorEastAsia" w:cstheme="minorEastAsia"/>
                <w:szCs w:val="21"/>
                <w:lang w:val="en-US" w:eastAsia="zh-CN"/>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公司管理体系范围为：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Q：城市园林绿化；环保草毯的销售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E：城市园林绿化；环保草毯的销售所涉及的相关环境管理活动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O：城市园林绿化；环保草毯的销售所涉及的相关职业健康安全管理活动</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组织的岗位、职责和权限</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抽查员工代表职责权限</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S5.4</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default" w:asciiTheme="minorEastAsia" w:hAnsiTheme="minorEastAsia" w:eastAsiaTheme="minorEastAsia" w:cstheme="minorEastAsia"/>
                <w:szCs w:val="21"/>
                <w:lang w:val="en-US" w:eastAsia="zh-CN"/>
              </w:rPr>
              <w:t>宋媛媛</w:t>
            </w:r>
            <w:r>
              <w:rPr>
                <w:rFonts w:hint="eastAsia" w:asciiTheme="minorEastAsia" w:hAnsiTheme="minorEastAsia" w:eastAsiaTheme="minorEastAsia" w:cstheme="minorEastAsia"/>
                <w:szCs w:val="21"/>
              </w:rPr>
              <w:t>为管理体系的管理者代表。其职责和权限规定如下：</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确保本公司管理体系所需的过程得到建立、实施和保持，代表总经理行使职权；</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查到授权书：公司任命</w:t>
            </w:r>
            <w:r>
              <w:rPr>
                <w:rFonts w:hint="eastAsia" w:asciiTheme="minorEastAsia" w:hAnsiTheme="minorEastAsia" w:eastAsiaTheme="minorEastAsia" w:cstheme="minorEastAsia"/>
                <w:szCs w:val="21"/>
                <w:lang w:eastAsia="zh-CN"/>
              </w:rPr>
              <w:t>魏爱英</w:t>
            </w:r>
            <w:r>
              <w:rPr>
                <w:rFonts w:hint="eastAsia" w:asciiTheme="minorEastAsia" w:hAnsiTheme="minorEastAsia" w:eastAsiaTheme="minorEastAsia" w:cstheme="minorEastAsia"/>
                <w:szCs w:val="21"/>
              </w:rPr>
              <w:t>为本公司的职业健康安全事务代表。相关人员均对本部门的管理职责了解，在其手册上面有书面的职责权限已公布。</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xml:space="preserve">参与环境因素及危险源辨识、风险评价和风险控制；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参与事故和事件的调查以及现场职业健康安全检查等职业健康安全事务；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代表员工参与制定职业健康安全方针、目标、管理方案和运行控制程序；</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代表员工参与职业健康安全的管理评审；参与职业健康安全和环保协商、评审和改进活动，并向厂长反映职业健康安全和环保问题；</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代表员工参与商讨影响工作场所职业健康安全的任何变化；代表员工参与职业健康安全事务。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与职业安全事务代表</w:t>
            </w:r>
            <w:r>
              <w:rPr>
                <w:rFonts w:hint="eastAsia" w:asciiTheme="minorEastAsia" w:hAnsiTheme="minorEastAsia" w:eastAsiaTheme="minorEastAsia" w:cstheme="minorEastAsia"/>
                <w:szCs w:val="21"/>
                <w:lang w:eastAsia="zh-CN"/>
              </w:rPr>
              <w:t>魏爱英</w:t>
            </w:r>
            <w:r>
              <w:rPr>
                <w:rFonts w:hint="eastAsia" w:asciiTheme="minorEastAsia" w:hAnsiTheme="minorEastAsia" w:eastAsiaTheme="minorEastAsia" w:cstheme="minorEastAsia"/>
                <w:szCs w:val="21"/>
              </w:rPr>
              <w:t>现</w:t>
            </w:r>
            <w:r>
              <w:rPr>
                <w:rFonts w:hint="eastAsia" w:asciiTheme="minorEastAsia" w:hAnsiTheme="minorEastAsia" w:eastAsiaTheme="minorEastAsia" w:cstheme="minorEastAsia"/>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p>
            <w:pPr>
              <w:rPr>
                <w:rFonts w:hint="eastAsia" w:asciiTheme="minorEastAsia" w:hAnsiTheme="minorEastAsia" w:eastAsiaTheme="minorEastAsia" w:cstheme="minorEastAsia"/>
                <w:szCs w:val="21"/>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3.在进行体系策划时，公司领导层考虑该公司所处的内外环境和问题，以及相关方的要求，识别和确定该公司资质范围内工程设计；工程项目管理中存在的影响</w:t>
            </w:r>
            <w:r>
              <w:rPr>
                <w:rFonts w:hint="eastAsia" w:asciiTheme="minorEastAsia" w:hAnsiTheme="minorEastAsia" w:eastAsiaTheme="minorEastAsia" w:cstheme="minorEastAsia"/>
                <w:szCs w:val="21"/>
                <w:lang w:val="en-US" w:eastAsia="zh-CN"/>
              </w:rPr>
              <w:t>设计</w:t>
            </w:r>
            <w:r>
              <w:rPr>
                <w:rFonts w:hint="eastAsia" w:asciiTheme="minorEastAsia" w:hAnsiTheme="minorEastAsia" w:eastAsiaTheme="minorEastAsia" w:cstheme="minorEastAsia"/>
                <w:szCs w:val="21"/>
              </w:rP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公司存在的风险和机遇主要有：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a）城市园林绿化；环保草毯的销售服务管理；由于人员的专业知识不足，工程质量不合格。</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b）城市园林绿化；环保草毯的销售服务管理；由于人员的环境保护、安全意识不够，造成意外环境污染和工伤事故。</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c）城市园林绿化；环保草毯的销售服务管理；由于设备故障，造成人员</w:t>
            </w:r>
            <w:r>
              <w:rPr>
                <w:rFonts w:hint="eastAsia" w:asciiTheme="minorEastAsia" w:hAnsiTheme="minorEastAsia" w:eastAsiaTheme="minorEastAsia" w:cstheme="minorEastAsia"/>
                <w:szCs w:val="21"/>
                <w:lang w:val="en-US" w:eastAsia="zh-CN"/>
              </w:rPr>
              <w:t>意外</w:t>
            </w:r>
            <w:r>
              <w:rPr>
                <w:rFonts w:hint="eastAsia" w:asciiTheme="minorEastAsia" w:hAnsiTheme="minorEastAsia" w:eastAsiaTheme="minorEastAsia" w:cstheme="minorEastAsia"/>
                <w:szCs w:val="21"/>
              </w:rPr>
              <w:t>伤害、触电事故。</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d城市园林绿化；环保草毯的销售服务管理；由于作业指导书、安全作业规程不足，使得</w:t>
            </w:r>
            <w:r>
              <w:rPr>
                <w:rFonts w:hint="eastAsia" w:asciiTheme="minorEastAsia" w:hAnsiTheme="minorEastAsia" w:eastAsiaTheme="minorEastAsia" w:cstheme="minorEastAsia"/>
                <w:szCs w:val="21"/>
                <w:lang w:val="en-US" w:eastAsia="zh-CN"/>
              </w:rPr>
              <w:t>服务</w:t>
            </w:r>
            <w:r>
              <w:rPr>
                <w:rFonts w:hint="eastAsia" w:asciiTheme="minorEastAsia" w:hAnsiTheme="minorEastAsia" w:eastAsiaTheme="minorEastAsia" w:cstheme="minorEastAsia"/>
                <w:szCs w:val="21"/>
              </w:rPr>
              <w:t>质量不合格和人员安全事件的发生。</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f）采购的材料不合格，造成</w:t>
            </w:r>
            <w:r>
              <w:rPr>
                <w:rFonts w:hint="eastAsia" w:asciiTheme="minorEastAsia" w:hAnsiTheme="minorEastAsia" w:eastAsiaTheme="minorEastAsia" w:cstheme="minorEastAsia"/>
                <w:szCs w:val="21"/>
                <w:lang w:val="en-US" w:eastAsia="zh-CN"/>
              </w:rPr>
              <w:t>服务</w:t>
            </w:r>
            <w:r>
              <w:rPr>
                <w:rFonts w:hint="eastAsia" w:asciiTheme="minorEastAsia" w:hAnsiTheme="minorEastAsia" w:eastAsiaTheme="minorEastAsia" w:cstheme="minorEastAsia"/>
                <w:szCs w:val="21"/>
              </w:rPr>
              <w:t>的不合格。</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d）违反相关的法律法规，影响公司的社会形象，遵守法规提高公司的社会形象。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h）公司潜在紧急情况，如火灾、触电、车辆伤害、物体打击等。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I）经营方面的风险如PPP、资金运行等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应对这些风险编制了《管理手册》、《程序文件》及《管理制度》。</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提供有《环境安全运行管理制度》，内容包括环境因素、危险源的识别、评价、汇总；重要环境因素和不可接受风险的控制。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公司对识别的重要环境因素及不可接受风险，对其进行监控</w:t>
            </w:r>
            <w:r>
              <w:rPr>
                <w:rFonts w:hint="eastAsia" w:asciiTheme="minorEastAsia" w:hAnsiTheme="minorEastAsia" w:eastAsiaTheme="minorEastAsia" w:cstheme="minorEastAsia"/>
                <w:szCs w:val="21"/>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措施的策划</w:t>
            </w:r>
          </w:p>
          <w:p>
            <w:pPr>
              <w:rPr>
                <w:rFonts w:hint="eastAsia" w:asciiTheme="minorEastAsia" w:hAnsiTheme="minorEastAsia" w:eastAsiaTheme="minorEastAsia" w:cstheme="minorEastAsia"/>
                <w:szCs w:val="21"/>
                <w:lang w:val="en-US" w:eastAsia="zh-CN"/>
              </w:rPr>
            </w:pPr>
          </w:p>
        </w:tc>
        <w:tc>
          <w:tcPr>
            <w:tcW w:w="9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w:t>
            </w:r>
            <w:r>
              <w:rPr>
                <w:rFonts w:hint="eastAsia" w:asciiTheme="minorEastAsia" w:hAnsiTheme="minorEastAsia" w:eastAsiaTheme="minorEastAsia" w:cstheme="minorEastAsia"/>
                <w:szCs w:val="21"/>
              </w:rPr>
              <w:t>S6.1.4</w:t>
            </w:r>
          </w:p>
          <w:p>
            <w:pPr>
              <w:rPr>
                <w:rFonts w:hint="eastAsia" w:asciiTheme="minorEastAsia" w:hAnsiTheme="minorEastAsia" w:eastAsiaTheme="minorEastAsia" w:cstheme="minorEastAsia"/>
                <w:szCs w:val="21"/>
                <w:lang w:val="en-US" w:eastAsia="zh-CN"/>
              </w:rPr>
            </w:pPr>
          </w:p>
        </w:tc>
        <w:tc>
          <w:tcPr>
            <w:tcW w:w="10268"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在策划应对风险和机遇的措施时，行政人事部综合考虑了企业所处的环境、重要环境因素、合规义务，以及面对的风险和机遇，制定了环境、职业健康安全目标及管理方案，总经理</w:t>
            </w:r>
            <w:r>
              <w:rPr>
                <w:rFonts w:hint="eastAsia" w:asciiTheme="minorEastAsia" w:hAnsiTheme="minorEastAsia" w:eastAsiaTheme="minorEastAsia" w:cstheme="minorEastAsia"/>
                <w:szCs w:val="21"/>
                <w:lang w:val="en-US" w:eastAsia="zh-CN"/>
              </w:rPr>
              <w:t>翁方强</w:t>
            </w:r>
            <w:r>
              <w:rPr>
                <w:rFonts w:hint="eastAsia" w:asciiTheme="minorEastAsia" w:hAnsiTheme="minorEastAsia" w:eastAsiaTheme="minorEastAsia" w:cstheme="minorEastAsia"/>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p>
            <w:pPr>
              <w:rPr>
                <w:rFonts w:hint="eastAsia" w:asciiTheme="minorEastAsia" w:hAnsiTheme="minorEastAsia" w:eastAsiaTheme="minorEastAsia" w:cstheme="minorEastAsia"/>
                <w:szCs w:val="21"/>
              </w:rPr>
            </w:pPr>
          </w:p>
        </w:tc>
        <w:tc>
          <w:tcPr>
            <w:tcW w:w="9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p>
            <w:pPr>
              <w:rPr>
                <w:rFonts w:hint="eastAsia" w:asciiTheme="minorEastAsia" w:hAnsiTheme="minorEastAsia" w:eastAsiaTheme="minorEastAsia" w:cstheme="minorEastAsia"/>
                <w:szCs w:val="21"/>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w:t>
            </w:r>
            <w:r>
              <w:rPr>
                <w:rFonts w:hint="eastAsia" w:asciiTheme="minorEastAsia" w:hAnsiTheme="minorEastAsia" w:eastAsiaTheme="minorEastAsia" w:cstheme="minorEastAsia"/>
                <w:szCs w:val="21"/>
                <w:lang w:val="en-US" w:eastAsia="zh-CN"/>
              </w:rPr>
              <w:t>2021年</w:t>
            </w:r>
            <w:r>
              <w:rPr>
                <w:rFonts w:hint="eastAsia" w:asciiTheme="minorEastAsia" w:hAnsiTheme="minorEastAsia" w:eastAsiaTheme="minorEastAsia" w:cstheme="minorEastAsia"/>
                <w:szCs w:val="21"/>
              </w:rPr>
              <w:t>质量、环境和职业健康安全目标：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项目质量</w:t>
            </w:r>
            <w:r>
              <w:rPr>
                <w:rFonts w:hint="eastAsia" w:asciiTheme="minorEastAsia" w:hAnsiTheme="minorEastAsia" w:eastAsiaTheme="minorEastAsia" w:cstheme="minorEastAsia"/>
                <w:szCs w:val="21"/>
              </w:rPr>
              <w:t>合格率：9</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%以上；</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顾客满意程度：9</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%以上；</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固体废弃物分类处理率100%；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环境污染事故发生率0；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火灾发生率0 ；</w:t>
            </w:r>
            <w:bookmarkStart w:id="2" w:name="_GoBack"/>
            <w:bookmarkEnd w:id="2"/>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无重大安全事件发生。</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asciiTheme="minorEastAsia" w:hAnsiTheme="minorEastAsia" w:eastAsiaTheme="minorEastAsia" w:cstheme="minorEastAsia"/>
                <w:szCs w:val="21"/>
                <w:lang w:eastAsia="zh-CN"/>
              </w:rPr>
              <w:t>李蔚彧</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rPr>
              <w:t>；考核时间：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 xml:space="preserve">月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资源、总则</w:t>
            </w:r>
          </w:p>
          <w:p>
            <w:pPr>
              <w:rPr>
                <w:rFonts w:hint="eastAsia" w:asciiTheme="minorEastAsia" w:hAnsiTheme="minorEastAsia" w:eastAsiaTheme="minorEastAsia" w:cstheme="minorEastAsia"/>
                <w:szCs w:val="21"/>
                <w:lang w:val="en-US" w:eastAsia="zh-CN"/>
              </w:rPr>
            </w:pPr>
          </w:p>
        </w:tc>
        <w:tc>
          <w:tcPr>
            <w:tcW w:w="960" w:type="dxa"/>
            <w:vAlign w:val="top"/>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7.1.1</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7.1</w:t>
            </w:r>
          </w:p>
          <w:p>
            <w:pPr>
              <w:rPr>
                <w:rFonts w:hint="default" w:asciiTheme="minorEastAsia" w:hAnsiTheme="minorEastAsia" w:eastAsiaTheme="minorEastAsia" w:cstheme="minorEastAsia"/>
                <w:szCs w:val="21"/>
                <w:lang w:val="en-US" w:eastAsia="zh-CN"/>
              </w:rPr>
            </w:pPr>
          </w:p>
        </w:tc>
        <w:tc>
          <w:tcPr>
            <w:tcW w:w="10268"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公司根据公司经营运行需要，配备了各岗位所需人员、经营用房屋、</w:t>
            </w:r>
            <w:r>
              <w:rPr>
                <w:rFonts w:hint="eastAsia" w:asciiTheme="minorEastAsia" w:hAnsiTheme="minorEastAsia" w:eastAsiaTheme="minorEastAsia" w:cstheme="minorEastAsia"/>
                <w:szCs w:val="21"/>
                <w:lang w:val="en-US" w:eastAsia="zh-CN"/>
              </w:rPr>
              <w:t>绿化</w:t>
            </w:r>
            <w:r>
              <w:rPr>
                <w:rFonts w:hint="eastAsia" w:asciiTheme="minorEastAsia" w:hAnsiTheme="minorEastAsia" w:eastAsiaTheme="minorEastAsia" w:cstheme="minorEastAsia"/>
                <w:szCs w:val="21"/>
              </w:rPr>
              <w:t>设备、办公设备（电脑、打印机等）、消防器材、劳动防护用品、</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经营运行资金等资源，体系建立至今，未发生资源不足影响满足客户要求的现象.</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公司的生产地址位于：北京市丰台区丰台科学城航丰路8号三幢五层B5118房（园区）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租用办公房，面积</w:t>
            </w:r>
            <w:r>
              <w:rPr>
                <w:rFonts w:hint="eastAsia" w:asciiTheme="minorEastAsia" w:hAnsiTheme="minorEastAsia" w:eastAsiaTheme="minorEastAsia" w:cstheme="minorEastAsia"/>
                <w:szCs w:val="21"/>
                <w:lang w:val="en-US" w:eastAsia="zh-CN"/>
              </w:rPr>
              <w:t>200</w:t>
            </w:r>
            <w:r>
              <w:rPr>
                <w:rFonts w:hint="eastAsia" w:asciiTheme="minorEastAsia" w:hAnsiTheme="minorEastAsia" w:eastAsiaTheme="minorEastAsia" w:cstheme="minorEastAsia"/>
                <w:szCs w:val="21"/>
              </w:rPr>
              <w:t>平，见附件，租房协议，公司配备有城市园林绿化服务设备及办公配备。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部门：综合部、工程部、项目部</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人员：管理</w:t>
            </w:r>
            <w:r>
              <w:rPr>
                <w:rFonts w:hint="eastAsia" w:asciiTheme="minorEastAsia" w:hAnsiTheme="minorEastAsia" w:eastAsiaTheme="minorEastAsia" w:cstheme="minorEastAsia"/>
                <w:szCs w:val="21"/>
                <w:lang w:val="en-US" w:eastAsia="zh-CN"/>
              </w:rPr>
              <w:t>人员、绿化人员</w:t>
            </w:r>
            <w:r>
              <w:rPr>
                <w:rFonts w:hint="eastAsia" w:asciiTheme="minorEastAsia" w:hAnsiTheme="minorEastAsia" w:eastAsiaTheme="minorEastAsia" w:cstheme="minorEastAsia"/>
                <w:szCs w:val="21"/>
              </w:rPr>
              <w:t>、办公人员</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销售服务人员等。查阅了人员资质证书，提供园林绿化管理资格证等，见附件</w:t>
            </w:r>
          </w:p>
          <w:p>
            <w:pP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办公设备：电脑、打印机、扫描仪等</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绿化服务设备</w:t>
            </w:r>
            <w:r>
              <w:rPr>
                <w:rFonts w:hint="eastAsia" w:asciiTheme="minorEastAsia" w:hAnsiTheme="minorEastAsia" w:eastAsiaTheme="minorEastAsia" w:cstheme="minorEastAsia"/>
                <w:szCs w:val="21"/>
              </w:rPr>
              <w:t>；铁锹、铁镐、手据、园艺剪、割草机、粗枝剪、打草机等</w:t>
            </w:r>
          </w:p>
          <w:p>
            <w:pP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环保及消防设施：垃圾桶、灭火器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资源满足需求；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绩效测量和监视</w:t>
            </w:r>
          </w:p>
        </w:tc>
        <w:tc>
          <w:tcPr>
            <w:tcW w:w="960" w:type="dxa"/>
            <w:vAlign w:val="center"/>
          </w:tcPr>
          <w:p>
            <w:pPr>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9.1.1</w:t>
            </w:r>
          </w:p>
          <w:p>
            <w:pPr>
              <w:rPr>
                <w:rFonts w:hint="eastAsia" w:asciiTheme="minorEastAsia" w:hAnsiTheme="minorEastAsia" w:eastAsiaTheme="minorEastAsia" w:cstheme="minorEastAsia"/>
                <w:szCs w:val="21"/>
                <w:lang w:val="en-US" w:eastAsia="zh-CN"/>
              </w:rPr>
            </w:pPr>
          </w:p>
        </w:tc>
        <w:tc>
          <w:tcPr>
            <w:tcW w:w="10268"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查阅“部门质量目标策划及考核记录表”，</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提供两个季度的管理目标指标的检查考核工作，均完成目标考核要求。</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查阅“质量环境和职业健康安全目标指标完成情况检查表”，体系建立至今共进行了一个季度的管理目标指标的检查考核工作，均完成目标考核要求。</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质量环境和职业健康安全运行管理检查情况：抽查2021年1-6月份《质量、环境、安全检查表》， 检查人-周枫，受检部门：综合部   工程部 项目部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查公司每月为员工购买有养老等保险，提供保险单。</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外部对公司环境和安全管理要求一般口头交流；对供应商及客户等相关方有“相关方告知书”等。</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目前未发现公司出现违规现象。无被动性绩效的监视和测量。</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管理评审</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9.3</w:t>
            </w:r>
          </w:p>
          <w:p>
            <w:pPr>
              <w:rPr>
                <w:rFonts w:hint="eastAsia" w:asciiTheme="minorEastAsia" w:hAnsiTheme="minorEastAsia" w:eastAsiaTheme="minorEastAsia" w:cstheme="minorEastAsia"/>
                <w:szCs w:val="21"/>
                <w:lang w:val="en-US" w:eastAsia="zh-CN"/>
              </w:rPr>
            </w:pPr>
          </w:p>
        </w:tc>
        <w:tc>
          <w:tcPr>
            <w:tcW w:w="10268"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公司于2020年12月20日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依据：GB/T19001-2016\GB/T24001-2016\GB/T45001-2020标准进行管理评审。</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查阅公司管理评审资料：</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一、，综合部 发布管理评审计划， 拟稿-综合部 ， 签发-周枫，评审方式：会议评审，拟评审时间：2020年12月20日。</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二、管理评审输入：</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以上内容可通过会上口头发言及工作总结、汇报等形式体现。</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查看“管理评审报告”，报告中对本次管理评审做了总结，评价了公司建立、运行管理体系的效果。</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参会人员：周枫、李蔚彧、张志忠、王上劲、安杰、魏爱英等</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四、管理评审输出/评审结论：</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通过本次评审，最终得出本公司管理体系是适宜的、充分的、有效的，方针和目标是适宜的和有效的。提出了管理评审改进决议：</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2、加强内部管理，提高人员综合素质。改进措施包括（1）制定年度培训计划，策划并实施5S管理、成本管理、绩效管理、生产管理、项目管理等方面的培训。（2）培训的实施，并评估培训效果。</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3、ISO管理体系文件改进，改进措施包括（1）编制文件改进计划；（2）进一步依据标准要求和结合公司发展要求，修订管理手册和程序文；（3）完善操作指导书，工艺卡，控制计划及设备管理制度。</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针对管评，公司制定了相应的计划，计划基本均在年底前完成</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体系的运行现状及改进的要求</w:t>
            </w:r>
          </w:p>
        </w:tc>
        <w:tc>
          <w:tcPr>
            <w:tcW w:w="960" w:type="dxa"/>
            <w:vAlign w:val="top"/>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10.1</w:t>
            </w:r>
          </w:p>
          <w:p>
            <w:pPr>
              <w:rPr>
                <w:rFonts w:hint="eastAsia" w:asciiTheme="minorEastAsia" w:hAnsiTheme="minorEastAsia" w:eastAsiaTheme="minorEastAsia" w:cstheme="minorEastAsia"/>
                <w:szCs w:val="21"/>
                <w:lang w:val="en-US" w:eastAsia="zh-CN"/>
              </w:rPr>
            </w:pPr>
          </w:p>
        </w:tc>
        <w:tc>
          <w:tcPr>
            <w:tcW w:w="10268" w:type="dxa"/>
            <w:vAlign w:val="top"/>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持续改进</w:t>
            </w:r>
          </w:p>
        </w:tc>
        <w:tc>
          <w:tcPr>
            <w:tcW w:w="960" w:type="dxa"/>
            <w:vAlign w:val="top"/>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10.3</w:t>
            </w:r>
          </w:p>
          <w:p>
            <w:pPr>
              <w:rPr>
                <w:rFonts w:hint="eastAsia" w:asciiTheme="minorEastAsia" w:hAnsiTheme="minorEastAsia" w:eastAsiaTheme="minorEastAsia" w:cstheme="minorEastAsia"/>
                <w:szCs w:val="21"/>
                <w:lang w:val="en-US" w:eastAsia="zh-CN"/>
              </w:rPr>
            </w:pPr>
          </w:p>
        </w:tc>
        <w:tc>
          <w:tcPr>
            <w:tcW w:w="10268"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公司组织确定并选择改进机会，采取必要措施，满足顾客要求和增强顾客满意。</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包括：</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 改进产品或服务，以满足要求并关注未来的需求和期望；</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b) 纠正或减少不利影响；</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c) 改进管理体系绩效和有效性。</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对以下方面所需的监视、测量、分析和改进过程进行策划和实施：</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1.证实产品生产和和研发满足规定的要求；</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2.确保管理体系的符合性；</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3.持续改进管理体系的有效性。</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根据不同过程、不同产品和不同要求，采取不同的方法进行监视、测量和分析。</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A802C0"/>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4280D55"/>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D787558"/>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3</TotalTime>
  <ScaleCrop>false</ScaleCrop>
  <LinksUpToDate>false</LinksUpToDate>
  <CharactersWithSpaces>7556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2021-06-29T04:51:54Z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