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一阶段现场审核计划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9"/>
        <w:gridCol w:w="567"/>
        <w:gridCol w:w="1134"/>
        <w:gridCol w:w="284"/>
        <w:gridCol w:w="425"/>
        <w:gridCol w:w="425"/>
        <w:gridCol w:w="4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85" w:type="dxa"/>
            <w:gridSpan w:val="3"/>
            <w:vAlign w:val="center"/>
          </w:tcPr>
          <w:p>
            <w:pPr>
              <w:rPr>
                <w:sz w:val="21"/>
                <w:szCs w:val="21"/>
              </w:rPr>
            </w:pPr>
            <w:r>
              <w:rPr>
                <w:rFonts w:hint="eastAsia"/>
                <w:sz w:val="21"/>
                <w:szCs w:val="21"/>
              </w:rPr>
              <w:t>受审核方</w:t>
            </w:r>
          </w:p>
        </w:tc>
        <w:tc>
          <w:tcPr>
            <w:tcW w:w="8741" w:type="dxa"/>
            <w:gridSpan w:val="13"/>
            <w:vAlign w:val="center"/>
          </w:tcPr>
          <w:p>
            <w:pPr>
              <w:rPr>
                <w:sz w:val="21"/>
                <w:szCs w:val="21"/>
              </w:rPr>
            </w:pPr>
            <w:bookmarkStart w:id="0" w:name="组织名称"/>
            <w:r>
              <w:rPr>
                <w:sz w:val="21"/>
                <w:szCs w:val="21"/>
              </w:rPr>
              <w:t>北京胜时代生物科技有限公司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85" w:type="dxa"/>
            <w:gridSpan w:val="3"/>
            <w:vAlign w:val="center"/>
          </w:tcPr>
          <w:p>
            <w:pPr>
              <w:rPr>
                <w:sz w:val="21"/>
                <w:szCs w:val="21"/>
              </w:rPr>
            </w:pPr>
            <w:r>
              <w:rPr>
                <w:rFonts w:hint="eastAsia"/>
                <w:sz w:val="21"/>
                <w:szCs w:val="21"/>
              </w:rPr>
              <w:t>合同编号.</w:t>
            </w:r>
          </w:p>
        </w:tc>
        <w:tc>
          <w:tcPr>
            <w:tcW w:w="2551" w:type="dxa"/>
            <w:gridSpan w:val="4"/>
            <w:vAlign w:val="center"/>
          </w:tcPr>
          <w:p>
            <w:pPr>
              <w:rPr>
                <w:sz w:val="21"/>
                <w:szCs w:val="21"/>
              </w:rPr>
            </w:pPr>
            <w:bookmarkStart w:id="1" w:name="合同编号"/>
            <w:r>
              <w:rPr>
                <w:sz w:val="21"/>
                <w:szCs w:val="21"/>
              </w:rPr>
              <w:t>0578-2021-Q</w:t>
            </w:r>
            <w:bookmarkEnd w:id="1"/>
          </w:p>
        </w:tc>
        <w:tc>
          <w:tcPr>
            <w:tcW w:w="1701" w:type="dxa"/>
            <w:gridSpan w:val="2"/>
            <w:vAlign w:val="center"/>
          </w:tcPr>
          <w:p>
            <w:pPr>
              <w:rPr>
                <w:sz w:val="21"/>
                <w:szCs w:val="21"/>
              </w:rPr>
            </w:pPr>
            <w:r>
              <w:rPr>
                <w:rFonts w:hint="eastAsia"/>
                <w:sz w:val="21"/>
                <w:szCs w:val="21"/>
              </w:rPr>
              <w:t>审核领域</w:t>
            </w:r>
          </w:p>
        </w:tc>
        <w:tc>
          <w:tcPr>
            <w:tcW w:w="4489" w:type="dxa"/>
            <w:gridSpan w:val="7"/>
            <w:vAlign w:val="center"/>
          </w:tcPr>
          <w:p>
            <w:pPr>
              <w:rPr>
                <w:sz w:val="21"/>
                <w:szCs w:val="21"/>
              </w:rPr>
            </w:pPr>
            <w:bookmarkStart w:id="2" w:name="Q勾选"/>
            <w:r>
              <w:rPr>
                <w:rFonts w:hint="eastAsia"/>
                <w:sz w:val="21"/>
                <w:szCs w:val="21"/>
              </w:rPr>
              <w:t>■</w:t>
            </w:r>
            <w:bookmarkEnd w:id="2"/>
            <w:r>
              <w:rPr>
                <w:spacing w:val="-2"/>
                <w:sz w:val="21"/>
                <w:szCs w:val="21"/>
              </w:rPr>
              <w:t>QMS</w:t>
            </w:r>
            <w:bookmarkStart w:id="3" w:name="E勾选"/>
            <w:r>
              <w:rPr>
                <w:rFonts w:hint="eastAsia"/>
                <w:sz w:val="21"/>
                <w:szCs w:val="21"/>
              </w:rPr>
              <w:t>□</w:t>
            </w:r>
            <w:bookmarkEnd w:id="3"/>
            <w:r>
              <w:rPr>
                <w:spacing w:val="-2"/>
                <w:sz w:val="21"/>
                <w:szCs w:val="21"/>
              </w:rPr>
              <w:t>EMS</w:t>
            </w:r>
            <w:bookmarkStart w:id="4" w:name="S勾选"/>
            <w:r>
              <w:rPr>
                <w:rFonts w:hint="eastAsia"/>
                <w:sz w:val="21"/>
                <w:szCs w:val="21"/>
              </w:rPr>
              <w:t>□</w:t>
            </w:r>
            <w:bookmarkEnd w:id="4"/>
            <w:r>
              <w:rPr>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85" w:type="dxa"/>
            <w:gridSpan w:val="3"/>
            <w:vAlign w:val="center"/>
          </w:tcPr>
          <w:p>
            <w:pPr>
              <w:rPr>
                <w:sz w:val="21"/>
                <w:szCs w:val="21"/>
              </w:rPr>
            </w:pPr>
            <w:r>
              <w:rPr>
                <w:rFonts w:hint="eastAsia"/>
                <w:sz w:val="21"/>
                <w:szCs w:val="21"/>
              </w:rPr>
              <w:t>联系人</w:t>
            </w:r>
          </w:p>
        </w:tc>
        <w:tc>
          <w:tcPr>
            <w:tcW w:w="2551" w:type="dxa"/>
            <w:gridSpan w:val="4"/>
            <w:vAlign w:val="center"/>
          </w:tcPr>
          <w:p>
            <w:pPr>
              <w:rPr>
                <w:sz w:val="21"/>
                <w:szCs w:val="21"/>
              </w:rPr>
            </w:pPr>
            <w:bookmarkStart w:id="5" w:name="联系人"/>
            <w:r>
              <w:rPr>
                <w:sz w:val="21"/>
                <w:szCs w:val="21"/>
              </w:rPr>
              <w:t>李新春</w:t>
            </w:r>
            <w:bookmarkEnd w:id="5"/>
          </w:p>
        </w:tc>
        <w:tc>
          <w:tcPr>
            <w:tcW w:w="1701" w:type="dxa"/>
            <w:gridSpan w:val="2"/>
            <w:vAlign w:val="center"/>
          </w:tcPr>
          <w:p>
            <w:pPr>
              <w:rPr>
                <w:sz w:val="21"/>
                <w:szCs w:val="21"/>
              </w:rPr>
            </w:pPr>
            <w:r>
              <w:rPr>
                <w:rFonts w:hint="eastAsia"/>
                <w:sz w:val="21"/>
                <w:szCs w:val="21"/>
              </w:rPr>
              <w:t>联系电话</w:t>
            </w:r>
          </w:p>
        </w:tc>
        <w:tc>
          <w:tcPr>
            <w:tcW w:w="1701" w:type="dxa"/>
            <w:gridSpan w:val="2"/>
            <w:vAlign w:val="center"/>
          </w:tcPr>
          <w:p>
            <w:pPr>
              <w:rPr>
                <w:sz w:val="21"/>
                <w:szCs w:val="21"/>
              </w:rPr>
            </w:pPr>
            <w:bookmarkStart w:id="6" w:name="联系人电话"/>
            <w:r>
              <w:rPr>
                <w:sz w:val="21"/>
                <w:szCs w:val="21"/>
              </w:rPr>
              <w:t>15701331202</w:t>
            </w:r>
            <w:bookmarkEnd w:id="6"/>
          </w:p>
        </w:tc>
        <w:tc>
          <w:tcPr>
            <w:tcW w:w="709" w:type="dxa"/>
            <w:gridSpan w:val="2"/>
            <w:vMerge w:val="restart"/>
            <w:vAlign w:val="center"/>
          </w:tcPr>
          <w:p>
            <w:pPr>
              <w:rPr>
                <w:sz w:val="21"/>
                <w:szCs w:val="21"/>
              </w:rPr>
            </w:pPr>
            <w:r>
              <w:rPr>
                <w:rFonts w:hint="eastAsia"/>
                <w:sz w:val="21"/>
                <w:szCs w:val="21"/>
              </w:rPr>
              <w:t>邮箱</w:t>
            </w:r>
          </w:p>
        </w:tc>
        <w:tc>
          <w:tcPr>
            <w:tcW w:w="2079" w:type="dxa"/>
            <w:gridSpan w:val="3"/>
            <w:vMerge w:val="restart"/>
            <w:vAlign w:val="center"/>
          </w:tcPr>
          <w:p>
            <w:pPr>
              <w:rPr>
                <w:sz w:val="21"/>
                <w:szCs w:val="21"/>
              </w:rPr>
            </w:pPr>
            <w:bookmarkStart w:id="7" w:name="联系人邮箱"/>
            <w:r>
              <w:rPr>
                <w:sz w:val="21"/>
                <w:szCs w:val="21"/>
              </w:rPr>
              <w:t>lixinchun@bjshengshidai.com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5" w:type="dxa"/>
            <w:gridSpan w:val="3"/>
            <w:vAlign w:val="center"/>
          </w:tcPr>
          <w:p>
            <w:r>
              <w:rPr>
                <w:rFonts w:hint="eastAsia"/>
              </w:rPr>
              <w:t>最高管理者</w:t>
            </w:r>
          </w:p>
        </w:tc>
        <w:tc>
          <w:tcPr>
            <w:tcW w:w="2551" w:type="dxa"/>
            <w:gridSpan w:val="4"/>
            <w:vAlign w:val="center"/>
          </w:tcPr>
          <w:p>
            <w:bookmarkStart w:id="8" w:name="最高管理者"/>
            <w:bookmarkEnd w:id="8"/>
          </w:p>
        </w:tc>
        <w:tc>
          <w:tcPr>
            <w:tcW w:w="1701" w:type="dxa"/>
            <w:gridSpan w:val="2"/>
            <w:vAlign w:val="center"/>
          </w:tcPr>
          <w:p>
            <w:pPr>
              <w:rPr>
                <w:sz w:val="21"/>
                <w:szCs w:val="21"/>
              </w:rPr>
            </w:pPr>
            <w:r>
              <w:rPr>
                <w:rFonts w:hint="eastAsia"/>
                <w:sz w:val="21"/>
                <w:szCs w:val="21"/>
              </w:rPr>
              <w:t>传真</w:t>
            </w:r>
          </w:p>
        </w:tc>
        <w:tc>
          <w:tcPr>
            <w:tcW w:w="1701" w:type="dxa"/>
            <w:gridSpan w:val="2"/>
            <w:vAlign w:val="center"/>
          </w:tcPr>
          <w:p>
            <w:bookmarkStart w:id="9" w:name="联系人传真"/>
            <w:bookmarkEnd w:id="9"/>
          </w:p>
        </w:tc>
        <w:tc>
          <w:tcPr>
            <w:tcW w:w="709" w:type="dxa"/>
            <w:gridSpan w:val="2"/>
            <w:vMerge w:val="continue"/>
            <w:vAlign w:val="center"/>
          </w:tcPr>
          <w:p/>
        </w:tc>
        <w:tc>
          <w:tcPr>
            <w:tcW w:w="2079"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85" w:type="dxa"/>
            <w:gridSpan w:val="3"/>
            <w:vAlign w:val="center"/>
          </w:tcPr>
          <w:p>
            <w:r>
              <w:rPr>
                <w:rFonts w:hint="eastAsia"/>
              </w:rPr>
              <w:t>审核目的</w:t>
            </w:r>
          </w:p>
        </w:tc>
        <w:tc>
          <w:tcPr>
            <w:tcW w:w="8741"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审核范围</w:t>
            </w:r>
          </w:p>
        </w:tc>
        <w:tc>
          <w:tcPr>
            <w:tcW w:w="6237" w:type="dxa"/>
            <w:gridSpan w:val="9"/>
            <w:vAlign w:val="center"/>
          </w:tcPr>
          <w:p>
            <w:bookmarkStart w:id="10" w:name="审核范围"/>
            <w:r>
              <w:t>SNP分子标记检测、第二代DNA测序、靶向捕获测序的技术服务</w:t>
            </w:r>
            <w:bookmarkEnd w:id="10"/>
          </w:p>
        </w:tc>
        <w:tc>
          <w:tcPr>
            <w:tcW w:w="850" w:type="dxa"/>
            <w:gridSpan w:val="2"/>
            <w:vAlign w:val="center"/>
          </w:tcPr>
          <w:p>
            <w:r>
              <w:rPr>
                <w:rFonts w:hint="eastAsia"/>
              </w:rPr>
              <w:t>专业</w:t>
            </w:r>
          </w:p>
          <w:p>
            <w:r>
              <w:rPr>
                <w:rFonts w:hint="eastAsia"/>
              </w:rPr>
              <w:t>代码</w:t>
            </w:r>
          </w:p>
        </w:tc>
        <w:tc>
          <w:tcPr>
            <w:tcW w:w="1654" w:type="dxa"/>
            <w:gridSpan w:val="2"/>
            <w:vAlign w:val="center"/>
          </w:tcPr>
          <w:p>
            <w:bookmarkStart w:id="11" w:name="专业代码"/>
            <w:r>
              <w:t>34.06.00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485" w:type="dxa"/>
            <w:gridSpan w:val="3"/>
            <w:vAlign w:val="center"/>
          </w:tcPr>
          <w:p>
            <w:r>
              <w:rPr>
                <w:rFonts w:hint="eastAsia"/>
              </w:rPr>
              <w:t>审核准则</w:t>
            </w:r>
          </w:p>
        </w:tc>
        <w:tc>
          <w:tcPr>
            <w:tcW w:w="8741" w:type="dxa"/>
            <w:gridSpan w:val="13"/>
            <w:vAlign w:val="center"/>
          </w:tcPr>
          <w:p>
            <w:pPr>
              <w:rPr>
                <w:rFonts w:ascii="宋体" w:hAnsi="宋体"/>
                <w:b/>
                <w:sz w:val="21"/>
                <w:szCs w:val="21"/>
              </w:rPr>
            </w:pPr>
            <w:bookmarkStart w:id="12" w:name="审核依据"/>
            <w:r>
              <w:rPr>
                <w:rFonts w:hint="eastAsia" w:ascii="宋体" w:hAnsi="宋体"/>
                <w:b/>
                <w:sz w:val="21"/>
                <w:szCs w:val="21"/>
              </w:rPr>
              <w:t>GB/T19001-2016/ISO9001:2015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审核日期</w:t>
            </w:r>
          </w:p>
        </w:tc>
        <w:tc>
          <w:tcPr>
            <w:tcW w:w="8741"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13" w:name="审核日期安排"/>
            <w:r>
              <w:rPr>
                <w:rFonts w:hint="eastAsia"/>
                <w:b/>
                <w:sz w:val="21"/>
                <w:szCs w:val="21"/>
              </w:rPr>
              <w:t>2021年06月27日 上午至2021年06月27日 上午 (共0.5天)</w:t>
            </w:r>
            <w:bookmarkEnd w:id="13"/>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85" w:type="dxa"/>
            <w:gridSpan w:val="3"/>
            <w:vAlign w:val="center"/>
          </w:tcPr>
          <w:p>
            <w:r>
              <w:rPr>
                <w:rFonts w:hint="eastAsia"/>
              </w:rPr>
              <w:t>审核语言</w:t>
            </w:r>
          </w:p>
        </w:tc>
        <w:tc>
          <w:tcPr>
            <w:tcW w:w="8741"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pPr>
            <w:r>
              <w:rPr>
                <w:rFonts w:hint="eastAsia"/>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姓名</w:t>
            </w:r>
          </w:p>
        </w:tc>
        <w:tc>
          <w:tcPr>
            <w:tcW w:w="780" w:type="dxa"/>
            <w:gridSpan w:val="2"/>
            <w:vAlign w:val="center"/>
          </w:tcPr>
          <w:p>
            <w:pPr>
              <w:jc w:val="center"/>
              <w:rPr>
                <w:sz w:val="21"/>
                <w:szCs w:val="21"/>
              </w:rPr>
            </w:pPr>
            <w:r>
              <w:rPr>
                <w:rFonts w:hint="eastAsia"/>
                <w:sz w:val="21"/>
                <w:szCs w:val="21"/>
              </w:rPr>
              <w:t>组内</w:t>
            </w:r>
          </w:p>
          <w:p>
            <w:pPr>
              <w:jc w:val="center"/>
              <w:rPr>
                <w:sz w:val="21"/>
                <w:szCs w:val="21"/>
              </w:rPr>
            </w:pPr>
            <w:r>
              <w:rPr>
                <w:rFonts w:hint="eastAsia"/>
                <w:sz w:val="21"/>
                <w:szCs w:val="21"/>
              </w:rPr>
              <w:t>身份</w:t>
            </w:r>
          </w:p>
        </w:tc>
        <w:tc>
          <w:tcPr>
            <w:tcW w:w="720" w:type="dxa"/>
            <w:vAlign w:val="center"/>
          </w:tcPr>
          <w:p>
            <w:pPr>
              <w:jc w:val="center"/>
              <w:rPr>
                <w:sz w:val="21"/>
                <w:szCs w:val="21"/>
              </w:rPr>
            </w:pPr>
            <w:r>
              <w:rPr>
                <w:rFonts w:hint="eastAsia"/>
                <w:sz w:val="21"/>
                <w:szCs w:val="21"/>
              </w:rPr>
              <w:t>性别</w:t>
            </w:r>
          </w:p>
        </w:tc>
        <w:tc>
          <w:tcPr>
            <w:tcW w:w="1141" w:type="dxa"/>
            <w:gridSpan w:val="2"/>
            <w:vAlign w:val="center"/>
          </w:tcPr>
          <w:p>
            <w:pPr>
              <w:jc w:val="center"/>
              <w:rPr>
                <w:sz w:val="21"/>
                <w:szCs w:val="21"/>
              </w:rPr>
            </w:pPr>
            <w:r>
              <w:rPr>
                <w:rFonts w:hint="eastAsia"/>
                <w:sz w:val="21"/>
                <w:szCs w:val="21"/>
              </w:rPr>
              <w:t>注册资格</w:t>
            </w:r>
          </w:p>
        </w:tc>
        <w:tc>
          <w:tcPr>
            <w:tcW w:w="3402" w:type="dxa"/>
            <w:gridSpan w:val="4"/>
            <w:vAlign w:val="center"/>
          </w:tcPr>
          <w:p>
            <w:pPr>
              <w:jc w:val="center"/>
              <w:rPr>
                <w:sz w:val="21"/>
                <w:szCs w:val="21"/>
              </w:rPr>
            </w:pPr>
            <w:r>
              <w:rPr>
                <w:rFonts w:hint="eastAsia"/>
                <w:sz w:val="21"/>
                <w:szCs w:val="21"/>
              </w:rPr>
              <w:t>专业代码</w:t>
            </w:r>
          </w:p>
        </w:tc>
        <w:tc>
          <w:tcPr>
            <w:tcW w:w="1559" w:type="dxa"/>
            <w:gridSpan w:val="4"/>
            <w:vAlign w:val="center"/>
          </w:tcPr>
          <w:p>
            <w:pPr>
              <w:jc w:val="center"/>
              <w:rPr>
                <w:sz w:val="21"/>
                <w:szCs w:val="21"/>
              </w:rPr>
            </w:pPr>
            <w:r>
              <w:rPr>
                <w:rFonts w:hint="eastAsia"/>
                <w:sz w:val="21"/>
                <w:szCs w:val="21"/>
              </w:rPr>
              <w:t>联系电话</w:t>
            </w:r>
          </w:p>
        </w:tc>
        <w:tc>
          <w:tcPr>
            <w:tcW w:w="1229" w:type="dxa"/>
            <w:vAlign w:val="center"/>
          </w:tcPr>
          <w:p>
            <w:pPr>
              <w:jc w:val="center"/>
              <w:rPr>
                <w:sz w:val="21"/>
                <w:szCs w:val="21"/>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李京田</w:t>
            </w:r>
          </w:p>
        </w:tc>
        <w:tc>
          <w:tcPr>
            <w:tcW w:w="780" w:type="dxa"/>
            <w:gridSpan w:val="2"/>
            <w:vAlign w:val="center"/>
          </w:tcPr>
          <w:p>
            <w:pPr>
              <w:jc w:val="center"/>
              <w:rPr>
                <w:sz w:val="21"/>
                <w:szCs w:val="21"/>
              </w:rPr>
            </w:pPr>
            <w:r>
              <w:rPr>
                <w:sz w:val="21"/>
                <w:szCs w:val="21"/>
              </w:rPr>
              <w:t>组长</w:t>
            </w:r>
          </w:p>
        </w:tc>
        <w:tc>
          <w:tcPr>
            <w:tcW w:w="720" w:type="dxa"/>
            <w:vAlign w:val="center"/>
          </w:tcPr>
          <w:p>
            <w:pPr>
              <w:jc w:val="center"/>
              <w:rPr>
                <w:sz w:val="21"/>
                <w:szCs w:val="21"/>
              </w:rPr>
            </w:pPr>
            <w:r>
              <w:rPr>
                <w:sz w:val="21"/>
                <w:szCs w:val="21"/>
              </w:rPr>
              <w:t>女</w:t>
            </w:r>
          </w:p>
        </w:tc>
        <w:tc>
          <w:tcPr>
            <w:tcW w:w="1141" w:type="dxa"/>
            <w:gridSpan w:val="2"/>
            <w:vAlign w:val="center"/>
          </w:tcPr>
          <w:p>
            <w:pPr>
              <w:jc w:val="center"/>
              <w:rPr>
                <w:sz w:val="21"/>
                <w:szCs w:val="21"/>
              </w:rPr>
            </w:pPr>
            <w:r>
              <w:rPr>
                <w:sz w:val="21"/>
                <w:szCs w:val="21"/>
              </w:rPr>
              <w:t>审核员</w:t>
            </w:r>
          </w:p>
        </w:tc>
        <w:tc>
          <w:tcPr>
            <w:tcW w:w="3402" w:type="dxa"/>
            <w:gridSpan w:val="4"/>
            <w:vAlign w:val="center"/>
          </w:tcPr>
          <w:p>
            <w:pPr>
              <w:jc w:val="center"/>
              <w:rPr>
                <w:sz w:val="21"/>
                <w:szCs w:val="21"/>
              </w:rPr>
            </w:pPr>
            <w:r>
              <w:rPr>
                <w:sz w:val="21"/>
                <w:szCs w:val="21"/>
              </w:rPr>
              <w:t>34.06.00</w:t>
            </w:r>
          </w:p>
        </w:tc>
        <w:tc>
          <w:tcPr>
            <w:tcW w:w="1559" w:type="dxa"/>
            <w:gridSpan w:val="4"/>
            <w:vAlign w:val="center"/>
          </w:tcPr>
          <w:p>
            <w:pPr>
              <w:jc w:val="center"/>
              <w:rPr>
                <w:sz w:val="21"/>
                <w:szCs w:val="21"/>
              </w:rPr>
            </w:pPr>
            <w:r>
              <w:rPr>
                <w:sz w:val="21"/>
                <w:szCs w:val="21"/>
              </w:rPr>
              <w:t>13601093935</w:t>
            </w:r>
          </w:p>
        </w:tc>
        <w:tc>
          <w:tcPr>
            <w:tcW w:w="1229" w:type="dxa"/>
            <w:vAlign w:val="center"/>
          </w:tcPr>
          <w:p>
            <w:pPr>
              <w:jc w:val="center"/>
              <w:rPr>
                <w:sz w:val="21"/>
                <w:szCs w:val="21"/>
              </w:rPr>
            </w:pPr>
            <w:r>
              <w:rPr>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780" w:type="dxa"/>
            <w:gridSpan w:val="2"/>
            <w:vAlign w:val="center"/>
          </w:tcPr>
          <w:p/>
        </w:tc>
        <w:tc>
          <w:tcPr>
            <w:tcW w:w="720" w:type="dxa"/>
            <w:vAlign w:val="center"/>
          </w:tcPr>
          <w:p/>
        </w:tc>
        <w:tc>
          <w:tcPr>
            <w:tcW w:w="1141" w:type="dxa"/>
            <w:gridSpan w:val="2"/>
            <w:vAlign w:val="center"/>
          </w:tcPr>
          <w:p/>
        </w:tc>
        <w:tc>
          <w:tcPr>
            <w:tcW w:w="3402" w:type="dxa"/>
            <w:gridSpan w:val="4"/>
            <w:vAlign w:val="center"/>
          </w:tcPr>
          <w:p/>
        </w:tc>
        <w:tc>
          <w:tcPr>
            <w:tcW w:w="1559" w:type="dxa"/>
            <w:gridSpan w:val="4"/>
            <w:vAlign w:val="center"/>
          </w:tcPr>
          <w:p/>
        </w:tc>
        <w:tc>
          <w:tcPr>
            <w:tcW w:w="122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在审核过程中接触的有关受审核方特定产品或机密信息，未经受审核方书面同意不得透露给第三方。当法律要求需要信息提供给第三方时，中心书面通知受审核方所要提供的信息。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1843" w:type="dxa"/>
            <w:gridSpan w:val="5"/>
            <w:vAlign w:val="center"/>
          </w:tcPr>
          <w:p>
            <w:pPr>
              <w:rPr>
                <w:rFonts w:hint="default" w:eastAsia="宋体"/>
                <w:sz w:val="21"/>
                <w:szCs w:val="21"/>
                <w:lang w:val="en-US" w:eastAsia="zh-CN"/>
              </w:rPr>
            </w:pPr>
            <w:r>
              <w:rPr>
                <w:rFonts w:hint="eastAsia"/>
                <w:sz w:val="21"/>
                <w:szCs w:val="21"/>
                <w:lang w:val="en-US" w:eastAsia="zh-CN"/>
              </w:rPr>
              <w:t>李京田</w:t>
            </w:r>
          </w:p>
        </w:tc>
        <w:tc>
          <w:tcPr>
            <w:tcW w:w="1134" w:type="dxa"/>
            <w:gridSpan w:val="2"/>
            <w:vMerge w:val="restart"/>
            <w:vAlign w:val="center"/>
          </w:tcPr>
          <w:p>
            <w:pPr>
              <w:rPr>
                <w:sz w:val="21"/>
                <w:szCs w:val="21"/>
              </w:rPr>
            </w:pPr>
            <w:r>
              <w:rPr>
                <w:rFonts w:hint="eastAsia"/>
                <w:sz w:val="21"/>
                <w:szCs w:val="21"/>
              </w:rPr>
              <w:t>审核方案</w:t>
            </w:r>
          </w:p>
          <w:p>
            <w:pPr>
              <w:rPr>
                <w:sz w:val="21"/>
                <w:szCs w:val="21"/>
              </w:rPr>
            </w:pPr>
            <w:r>
              <w:rPr>
                <w:rFonts w:hint="eastAsia"/>
                <w:sz w:val="21"/>
                <w:szCs w:val="21"/>
              </w:rPr>
              <w:t>管理人员</w:t>
            </w:r>
          </w:p>
        </w:tc>
        <w:tc>
          <w:tcPr>
            <w:tcW w:w="2126" w:type="dxa"/>
            <w:gridSpan w:val="2"/>
            <w:vMerge w:val="restart"/>
            <w:vAlign w:val="center"/>
          </w:tcPr>
          <w:p>
            <w:pPr>
              <w:rPr>
                <w:sz w:val="21"/>
                <w:szCs w:val="21"/>
              </w:rPr>
            </w:pPr>
          </w:p>
        </w:tc>
        <w:tc>
          <w:tcPr>
            <w:tcW w:w="1418" w:type="dxa"/>
            <w:gridSpan w:val="2"/>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2504"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1843" w:type="dxa"/>
            <w:gridSpan w:val="5"/>
            <w:vAlign w:val="center"/>
          </w:tcPr>
          <w:p>
            <w:pPr>
              <w:spacing w:line="360" w:lineRule="auto"/>
              <w:rPr>
                <w:sz w:val="21"/>
                <w:szCs w:val="21"/>
              </w:rPr>
            </w:pPr>
          </w:p>
        </w:tc>
        <w:tc>
          <w:tcPr>
            <w:tcW w:w="1134" w:type="dxa"/>
            <w:gridSpan w:val="2"/>
            <w:vMerge w:val="continue"/>
            <w:vAlign w:val="center"/>
          </w:tcPr>
          <w:p>
            <w:pPr>
              <w:spacing w:line="360" w:lineRule="auto"/>
              <w:rPr>
                <w:sz w:val="21"/>
                <w:szCs w:val="21"/>
              </w:rPr>
            </w:pPr>
          </w:p>
        </w:tc>
        <w:tc>
          <w:tcPr>
            <w:tcW w:w="2126" w:type="dxa"/>
            <w:gridSpan w:val="2"/>
            <w:vMerge w:val="continue"/>
            <w:vAlign w:val="center"/>
          </w:tcPr>
          <w:p>
            <w:pPr>
              <w:spacing w:line="360" w:lineRule="auto"/>
              <w:rPr>
                <w:sz w:val="21"/>
                <w:szCs w:val="21"/>
              </w:rPr>
            </w:pPr>
          </w:p>
        </w:tc>
        <w:tc>
          <w:tcPr>
            <w:tcW w:w="1418" w:type="dxa"/>
            <w:gridSpan w:val="2"/>
            <w:vMerge w:val="continue"/>
            <w:vAlign w:val="center"/>
          </w:tcPr>
          <w:p>
            <w:pPr>
              <w:spacing w:line="360" w:lineRule="auto"/>
              <w:rPr>
                <w:sz w:val="21"/>
                <w:szCs w:val="21"/>
              </w:rPr>
            </w:pPr>
          </w:p>
        </w:tc>
        <w:tc>
          <w:tcPr>
            <w:tcW w:w="2504" w:type="dxa"/>
            <w:gridSpan w:val="4"/>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1843"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2021.6.26</w:t>
            </w:r>
          </w:p>
        </w:tc>
        <w:tc>
          <w:tcPr>
            <w:tcW w:w="1134" w:type="dxa"/>
            <w:gridSpan w:val="2"/>
            <w:vAlign w:val="center"/>
          </w:tcPr>
          <w:p>
            <w:pPr>
              <w:spacing w:line="360" w:lineRule="auto"/>
              <w:rPr>
                <w:sz w:val="21"/>
                <w:szCs w:val="21"/>
              </w:rPr>
            </w:pPr>
            <w:r>
              <w:rPr>
                <w:rFonts w:hint="eastAsia"/>
                <w:sz w:val="21"/>
                <w:szCs w:val="21"/>
              </w:rPr>
              <w:t>日期</w:t>
            </w:r>
          </w:p>
        </w:tc>
        <w:tc>
          <w:tcPr>
            <w:tcW w:w="2126" w:type="dxa"/>
            <w:gridSpan w:val="2"/>
            <w:vAlign w:val="center"/>
          </w:tcPr>
          <w:p>
            <w:pPr>
              <w:spacing w:line="360" w:lineRule="auto"/>
              <w:rPr>
                <w:sz w:val="21"/>
                <w:szCs w:val="21"/>
              </w:rPr>
            </w:pPr>
          </w:p>
        </w:tc>
        <w:tc>
          <w:tcPr>
            <w:tcW w:w="1418" w:type="dxa"/>
            <w:gridSpan w:val="2"/>
            <w:vAlign w:val="center"/>
          </w:tcPr>
          <w:p>
            <w:pPr>
              <w:spacing w:line="360" w:lineRule="auto"/>
              <w:rPr>
                <w:sz w:val="21"/>
                <w:szCs w:val="21"/>
              </w:rPr>
            </w:pPr>
            <w:r>
              <w:rPr>
                <w:rFonts w:hint="eastAsia"/>
                <w:sz w:val="21"/>
                <w:szCs w:val="21"/>
              </w:rPr>
              <w:t>日期</w:t>
            </w:r>
          </w:p>
        </w:tc>
        <w:tc>
          <w:tcPr>
            <w:tcW w:w="2504" w:type="dxa"/>
            <w:gridSpan w:val="4"/>
            <w:vAlign w:val="center"/>
          </w:tcPr>
          <w:p>
            <w:pPr>
              <w:spacing w:line="360" w:lineRule="auto"/>
              <w:rPr>
                <w:rFonts w:hint="default" w:eastAsia="宋体"/>
                <w:lang w:val="en-US" w:eastAsia="zh-CN"/>
              </w:rPr>
            </w:pPr>
            <w:r>
              <w:rPr>
                <w:rFonts w:hint="eastAsia"/>
                <w:lang w:val="en-US" w:eastAsia="zh-CN"/>
              </w:rPr>
              <w:t>2021.6.27</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05"/>
        <w:gridCol w:w="666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505" w:type="dxa"/>
            <w:vAlign w:val="center"/>
          </w:tcPr>
          <w:p>
            <w:pPr>
              <w:snapToGrid w:val="0"/>
              <w:spacing w:line="280" w:lineRule="exact"/>
              <w:jc w:val="center"/>
              <w:rPr>
                <w:b/>
                <w:sz w:val="22"/>
                <w:szCs w:val="22"/>
              </w:rPr>
            </w:pPr>
            <w:r>
              <w:rPr>
                <w:rFonts w:hint="eastAsia"/>
                <w:b/>
                <w:sz w:val="20"/>
              </w:rPr>
              <w:t>时间</w:t>
            </w:r>
          </w:p>
        </w:tc>
        <w:tc>
          <w:tcPr>
            <w:tcW w:w="6665"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restart"/>
            <w:tcBorders>
              <w:lef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2021</w:t>
            </w:r>
            <w:bookmarkStart w:id="14" w:name="_GoBack"/>
            <w:bookmarkEnd w:id="14"/>
            <w:r>
              <w:rPr>
                <w:rFonts w:hint="eastAsia"/>
                <w:b/>
                <w:sz w:val="20"/>
                <w:lang w:val="en-US" w:eastAsia="zh-CN"/>
              </w:rPr>
              <w:t>.6.27</w:t>
            </w:r>
          </w:p>
        </w:tc>
        <w:tc>
          <w:tcPr>
            <w:tcW w:w="1505"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8：30-9：00</w:t>
            </w:r>
          </w:p>
        </w:tc>
        <w:tc>
          <w:tcPr>
            <w:tcW w:w="6665" w:type="dxa"/>
            <w:vAlign w:val="center"/>
          </w:tcPr>
          <w:p>
            <w:pPr>
              <w:snapToGrid w:val="0"/>
              <w:spacing w:before="60" w:after="60"/>
              <w:jc w:val="left"/>
              <w:rPr>
                <w:rFonts w:hint="eastAsia" w:ascii="宋体" w:hAnsi="宋体"/>
              </w:rPr>
            </w:pPr>
            <w:r>
              <w:rPr>
                <w:rFonts w:hint="eastAsia" w:ascii="宋体" w:hAnsi="宋体"/>
              </w:rPr>
              <w:t>首次会议</w:t>
            </w:r>
          </w:p>
          <w:p>
            <w:pPr>
              <w:snapToGrid w:val="0"/>
              <w:spacing w:line="280" w:lineRule="exact"/>
              <w:jc w:val="left"/>
              <w:rPr>
                <w:b/>
                <w:sz w:val="20"/>
              </w:rPr>
            </w:pP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Merge w:val="restart"/>
            <w:vAlign w:val="center"/>
          </w:tcPr>
          <w:p>
            <w:pPr>
              <w:snapToGrid w:val="0"/>
              <w:spacing w:line="280" w:lineRule="exact"/>
              <w:jc w:val="left"/>
              <w:rPr>
                <w:rFonts w:hint="default" w:eastAsia="宋体"/>
                <w:b/>
                <w:sz w:val="20"/>
                <w:lang w:val="en-US" w:eastAsia="zh-CN"/>
              </w:rPr>
            </w:pPr>
            <w:r>
              <w:rPr>
                <w:rFonts w:hint="eastAsia"/>
                <w:b/>
                <w:sz w:val="20"/>
                <w:lang w:val="en-US" w:eastAsia="zh-CN"/>
              </w:rPr>
              <w:t>9：00-12：00</w:t>
            </w:r>
          </w:p>
        </w:tc>
        <w:tc>
          <w:tcPr>
            <w:tcW w:w="6665" w:type="dxa"/>
            <w:vAlign w:val="center"/>
          </w:tcPr>
          <w:p>
            <w:pPr>
              <w:snapToGrid w:val="0"/>
              <w:rPr>
                <w:rFonts w:ascii="楷体_GB2312" w:eastAsia="楷体_GB2312"/>
              </w:rPr>
            </w:pPr>
            <w:r>
              <w:rPr>
                <w:rFonts w:hint="eastAsia" w:ascii="楷体_GB2312" w:eastAsia="楷体_GB2312"/>
              </w:rPr>
              <w:t>管理层</w:t>
            </w:r>
          </w:p>
          <w:p>
            <w:pPr>
              <w:pStyle w:val="12"/>
              <w:ind w:firstLine="480"/>
              <w:rPr>
                <w:rFonts w:ascii="楷体_GB2312" w:hAnsi="Calibri" w:eastAsia="楷体_GB2312"/>
              </w:rPr>
            </w:pPr>
            <w:r>
              <w:rPr>
                <w:rFonts w:hint="eastAsia" w:ascii="楷体_GB2312" w:hAnsi="Calibri" w:eastAsia="楷体_GB2312"/>
              </w:rPr>
              <w:t>了解公司基本概况，了解公司管理体系策划情况，理解组织及其环境，相关方需求和期望；确定质量管理体系的范围、方针、特别是对管理体系的关键绩效或重要的因素、过程、目标和运作的识别情况；</w:t>
            </w:r>
          </w:p>
          <w:p>
            <w:pPr>
              <w:pStyle w:val="12"/>
              <w:ind w:firstLine="480"/>
              <w:rPr>
                <w:rFonts w:ascii="楷体_GB2312" w:hAnsi="Calibri" w:eastAsia="楷体_GB2312"/>
              </w:rPr>
            </w:pPr>
            <w:r>
              <w:rPr>
                <w:rFonts w:hint="eastAsia" w:ascii="楷体_GB2312" w:hAnsi="Calibri" w:eastAsia="楷体_GB2312"/>
              </w:rPr>
              <w:t>评价客户是否策划和实施了内部审核；</w:t>
            </w:r>
          </w:p>
          <w:p>
            <w:pPr>
              <w:snapToGrid w:val="0"/>
              <w:spacing w:before="60" w:after="60"/>
              <w:jc w:val="left"/>
              <w:rPr>
                <w:rFonts w:hint="eastAsia" w:ascii="宋体" w:hAnsi="宋体"/>
              </w:rPr>
            </w:pPr>
            <w:r>
              <w:rPr>
                <w:rFonts w:hint="eastAsia" w:ascii="楷体_GB2312" w:hAnsi="Calibri" w:eastAsia="楷体_GB2312"/>
              </w:rPr>
              <w:t>了解和评审公司是否策划和实施了管理评审</w:t>
            </w:r>
          </w:p>
          <w:p>
            <w:pPr>
              <w:snapToGrid w:val="0"/>
              <w:spacing w:line="280" w:lineRule="exact"/>
              <w:jc w:val="left"/>
              <w:rPr>
                <w:b/>
                <w:sz w:val="20"/>
              </w:rPr>
            </w:pP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Merge w:val="continue"/>
            <w:tcBorders/>
            <w:vAlign w:val="center"/>
          </w:tcPr>
          <w:p>
            <w:pPr>
              <w:snapToGrid w:val="0"/>
              <w:spacing w:line="280" w:lineRule="exact"/>
              <w:jc w:val="left"/>
              <w:rPr>
                <w:b/>
                <w:sz w:val="20"/>
              </w:rPr>
            </w:pPr>
          </w:p>
        </w:tc>
        <w:tc>
          <w:tcPr>
            <w:tcW w:w="6665" w:type="dxa"/>
            <w:vAlign w:val="center"/>
          </w:tcPr>
          <w:p>
            <w:pPr>
              <w:snapToGrid w:val="0"/>
              <w:rPr>
                <w:rFonts w:ascii="楷体_GB2312" w:eastAsia="楷体_GB2312"/>
              </w:rPr>
            </w:pPr>
            <w:r>
              <w:rPr>
                <w:rFonts w:hint="eastAsia" w:ascii="楷体_GB2312" w:eastAsia="楷体_GB2312"/>
                <w:szCs w:val="22"/>
                <w:lang w:eastAsia="zh-CN"/>
              </w:rPr>
              <w:t>办公室</w:t>
            </w:r>
            <w:r>
              <w:rPr>
                <w:rFonts w:hint="eastAsia" w:ascii="楷体_GB2312" w:eastAsia="楷体_GB2312"/>
              </w:rPr>
              <w:t>及现场参观</w:t>
            </w:r>
          </w:p>
          <w:p>
            <w:pPr>
              <w:pStyle w:val="12"/>
              <w:ind w:firstLine="480"/>
              <w:rPr>
                <w:rFonts w:hint="eastAsia" w:ascii="楷体_GB2312" w:hAnsi="Calibri" w:eastAsia="楷体_GB2312"/>
              </w:rPr>
            </w:pPr>
            <w:r>
              <w:rPr>
                <w:rFonts w:hint="eastAsia" w:ascii="楷体_GB2312" w:hAnsi="Calibri" w:eastAsia="楷体_GB2312"/>
              </w:rPr>
              <w:t>公司过程识别情况</w:t>
            </w:r>
          </w:p>
          <w:p>
            <w:pPr>
              <w:pStyle w:val="12"/>
              <w:ind w:firstLine="480"/>
              <w:rPr>
                <w:rFonts w:hint="eastAsia" w:ascii="楷体_GB2312" w:hAnsi="Calibri" w:eastAsia="楷体_GB2312"/>
              </w:rPr>
            </w:pPr>
            <w:r>
              <w:rPr>
                <w:rFonts w:hint="eastAsia" w:ascii="楷体_GB2312" w:hAnsi="Calibri" w:eastAsia="楷体_GB2312"/>
              </w:rPr>
              <w:t>目标的策划和实施情况 内部审核策划和实施情况</w:t>
            </w:r>
          </w:p>
          <w:p>
            <w:pPr>
              <w:autoSpaceDE w:val="0"/>
              <w:autoSpaceDN w:val="0"/>
              <w:adjustRightInd w:val="0"/>
              <w:jc w:val="left"/>
              <w:rPr>
                <w:rFonts w:ascii="楷体_GB2312" w:hAnsi="Calibri" w:eastAsia="楷体_GB2312" w:cs="宋体"/>
                <w:color w:val="000000"/>
                <w:kern w:val="0"/>
                <w:szCs w:val="24"/>
              </w:rPr>
            </w:pPr>
            <w:r>
              <w:rPr>
                <w:rFonts w:hint="eastAsia" w:ascii="楷体_GB2312" w:hAnsi="Calibri" w:eastAsia="楷体_GB2312" w:cs="宋体"/>
                <w:color w:val="000000"/>
                <w:kern w:val="0"/>
                <w:szCs w:val="24"/>
              </w:rPr>
              <w:t>收集</w:t>
            </w:r>
            <w:r>
              <w:rPr>
                <w:rFonts w:hint="eastAsia" w:ascii="楷体_GB2312" w:hAnsi="Calibri" w:eastAsia="楷体_GB2312"/>
                <w:szCs w:val="22"/>
              </w:rPr>
              <w:t>关于生物学DNA提取、SNP芯片技术服务的管理</w:t>
            </w:r>
            <w:r>
              <w:rPr>
                <w:rFonts w:hint="eastAsia" w:ascii="楷体_GB2312" w:hAnsi="Calibri" w:eastAsia="楷体_GB2312" w:cs="宋体"/>
                <w:color w:val="000000"/>
                <w:kern w:val="0"/>
                <w:szCs w:val="24"/>
              </w:rPr>
              <w:t>体系范围的必要信息，包括：</w:t>
            </w:r>
          </w:p>
          <w:p>
            <w:pPr>
              <w:autoSpaceDE w:val="0"/>
              <w:autoSpaceDN w:val="0"/>
              <w:adjustRightInd w:val="0"/>
              <w:jc w:val="left"/>
              <w:rPr>
                <w:rFonts w:ascii="楷体_GB2312" w:hAnsi="Calibri" w:eastAsia="楷体_GB2312" w:cs="宋体"/>
                <w:color w:val="000000"/>
                <w:kern w:val="0"/>
                <w:szCs w:val="24"/>
              </w:rPr>
            </w:pPr>
            <w:r>
              <w:rPr>
                <w:rFonts w:ascii="楷体_GB2312" w:hAnsi="Calibri" w:eastAsia="楷体_GB2312" w:cs="宋体"/>
                <w:color w:val="000000"/>
                <w:kern w:val="0"/>
                <w:szCs w:val="24"/>
              </w:rPr>
              <w:t xml:space="preserve">- </w:t>
            </w:r>
            <w:r>
              <w:rPr>
                <w:rFonts w:hint="eastAsia" w:ascii="楷体_GB2312" w:hAnsi="Calibri" w:eastAsia="楷体_GB2312" w:cs="宋体"/>
                <w:color w:val="000000"/>
                <w:kern w:val="0"/>
                <w:szCs w:val="24"/>
              </w:rPr>
              <w:t>客户的场所</w:t>
            </w:r>
          </w:p>
          <w:p>
            <w:pPr>
              <w:snapToGrid w:val="0"/>
              <w:rPr>
                <w:rFonts w:ascii="楷体_GB2312" w:hAnsi="Calibri" w:eastAsia="楷体_GB2312" w:cs="宋体"/>
                <w:color w:val="000000"/>
                <w:kern w:val="0"/>
                <w:szCs w:val="24"/>
              </w:rPr>
            </w:pPr>
            <w:r>
              <w:rPr>
                <w:rFonts w:ascii="楷体_GB2312" w:hAnsi="Calibri" w:eastAsia="楷体_GB2312" w:cs="宋体"/>
                <w:color w:val="000000"/>
                <w:kern w:val="0"/>
                <w:szCs w:val="24"/>
              </w:rPr>
              <w:t xml:space="preserve">- </w:t>
            </w:r>
            <w:r>
              <w:rPr>
                <w:rFonts w:hint="eastAsia" w:ascii="楷体_GB2312" w:hAnsi="Calibri" w:eastAsia="楷体_GB2312" w:cs="宋体"/>
                <w:color w:val="000000"/>
                <w:kern w:val="0"/>
                <w:szCs w:val="24"/>
              </w:rPr>
              <w:t>所建立的控制的水平</w:t>
            </w:r>
          </w:p>
          <w:p>
            <w:pPr>
              <w:snapToGrid w:val="0"/>
              <w:spacing w:line="280" w:lineRule="exact"/>
              <w:jc w:val="left"/>
              <w:rPr>
                <w:b/>
                <w:sz w:val="20"/>
              </w:rPr>
            </w:pP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Merge w:val="continue"/>
            <w:tcBorders/>
            <w:vAlign w:val="center"/>
          </w:tcPr>
          <w:p>
            <w:pPr>
              <w:snapToGrid w:val="0"/>
              <w:spacing w:line="280" w:lineRule="exact"/>
              <w:jc w:val="left"/>
              <w:rPr>
                <w:b/>
                <w:sz w:val="20"/>
              </w:rPr>
            </w:pPr>
          </w:p>
        </w:tc>
        <w:tc>
          <w:tcPr>
            <w:tcW w:w="6665" w:type="dxa"/>
            <w:vAlign w:val="center"/>
          </w:tcPr>
          <w:p>
            <w:pPr>
              <w:autoSpaceDE w:val="0"/>
              <w:autoSpaceDN w:val="0"/>
              <w:adjustRightInd w:val="0"/>
              <w:jc w:val="left"/>
              <w:rPr>
                <w:rFonts w:hint="eastAsia" w:ascii="楷体_GB2312" w:hAnsi="Calibri" w:eastAsia="楷体_GB2312"/>
                <w:szCs w:val="22"/>
              </w:rPr>
            </w:pPr>
            <w:r>
              <w:rPr>
                <w:rFonts w:hint="eastAsia" w:ascii="楷体_GB2312" w:hAnsi="Calibri" w:eastAsia="楷体_GB2312"/>
                <w:szCs w:val="22"/>
                <w:lang w:eastAsia="zh-CN"/>
              </w:rPr>
              <w:t>生产技术部</w:t>
            </w:r>
            <w:r>
              <w:rPr>
                <w:rFonts w:hint="eastAsia" w:ascii="楷体_GB2312" w:hAnsi="Calibri" w:eastAsia="楷体_GB2312"/>
                <w:szCs w:val="22"/>
              </w:rPr>
              <w:t>现场参观</w:t>
            </w:r>
          </w:p>
          <w:p>
            <w:pPr>
              <w:autoSpaceDE w:val="0"/>
              <w:autoSpaceDN w:val="0"/>
              <w:adjustRightInd w:val="0"/>
              <w:jc w:val="left"/>
              <w:rPr>
                <w:rFonts w:hint="eastAsia" w:ascii="楷体_GB2312" w:eastAsia="楷体_GB2312"/>
                <w:lang w:eastAsia="zh-CN"/>
              </w:rPr>
            </w:pPr>
            <w:r>
              <w:rPr>
                <w:rFonts w:hint="eastAsia" w:ascii="楷体_GB2312" w:hAnsi="Calibri" w:eastAsia="楷体_GB2312"/>
                <w:szCs w:val="22"/>
              </w:rPr>
              <w:t>了解</w:t>
            </w:r>
            <w:r>
              <w:rPr>
                <w:rFonts w:hint="eastAsia" w:ascii="楷体_GB2312" w:hAnsi="Calibri" w:eastAsia="楷体_GB2312"/>
                <w:szCs w:val="22"/>
                <w:lang w:eastAsia="zh-CN"/>
              </w:rPr>
              <w:t>生产技术部</w:t>
            </w:r>
            <w:r>
              <w:rPr>
                <w:rFonts w:hint="eastAsia" w:ascii="楷体_GB2312" w:hAnsi="Calibri" w:eastAsia="楷体_GB2312"/>
                <w:szCs w:val="22"/>
              </w:rPr>
              <w:t>的管理体</w:t>
            </w:r>
            <w:r>
              <w:rPr>
                <w:rFonts w:hint="eastAsia" w:ascii="楷体_GB2312" w:eastAsia="楷体_GB2312"/>
              </w:rPr>
              <w:t>系标准或过程控制情况，以及其他规范性文件充分了解客户的管理体系和现场运作</w:t>
            </w:r>
            <w:r>
              <w:rPr>
                <w:rFonts w:hint="eastAsia" w:ascii="楷体_GB2312" w:eastAsia="楷体_GB2312"/>
                <w:lang w:eastAsia="zh-CN"/>
              </w:rPr>
              <w:t>。</w:t>
            </w:r>
          </w:p>
          <w:p>
            <w:pPr>
              <w:snapToGrid w:val="0"/>
              <w:spacing w:before="60" w:after="60"/>
              <w:jc w:val="left"/>
              <w:rPr>
                <w:rFonts w:hint="eastAsia" w:ascii="楷体_GB2312" w:eastAsia="楷体_GB2312"/>
                <w:szCs w:val="22"/>
              </w:rPr>
            </w:pPr>
            <w:r>
              <w:rPr>
                <w:rFonts w:hint="eastAsia" w:ascii="楷体_GB2312" w:eastAsia="楷体_GB2312"/>
                <w:szCs w:val="22"/>
              </w:rPr>
              <w:t>产品/服务实现过程、外包过程与组织宗旨相关并影响其实现管理体系预期结果的各种外部和内部问题的确定情况：</w:t>
            </w:r>
          </w:p>
          <w:p>
            <w:pPr>
              <w:snapToGrid w:val="0"/>
              <w:spacing w:before="60" w:after="60"/>
              <w:jc w:val="left"/>
              <w:rPr>
                <w:rFonts w:hint="eastAsia" w:ascii="楷体_GB2312" w:eastAsia="楷体_GB2312"/>
                <w:szCs w:val="22"/>
                <w:lang w:eastAsia="zh-CN"/>
              </w:rPr>
            </w:pPr>
            <w:r>
              <w:rPr>
                <w:rFonts w:hint="eastAsia" w:ascii="楷体_GB2312" w:eastAsia="楷体_GB2312"/>
                <w:szCs w:val="22"/>
              </w:rPr>
              <w:t>查组织考虑和确定的风险和机遇、及确定的应措施：</w:t>
            </w:r>
          </w:p>
          <w:p>
            <w:pPr>
              <w:snapToGrid w:val="0"/>
              <w:spacing w:before="60" w:after="60"/>
              <w:jc w:val="left"/>
              <w:rPr>
                <w:rFonts w:hint="eastAsia" w:ascii="宋体" w:hAnsi="宋体"/>
              </w:rPr>
            </w:pPr>
            <w:r>
              <w:rPr>
                <w:rFonts w:hint="eastAsia" w:ascii="楷体_GB2312" w:eastAsia="楷体_GB2312"/>
              </w:rPr>
              <w:t>以便为策划第二阶段提供关注点；</w:t>
            </w:r>
          </w:p>
          <w:p>
            <w:pPr>
              <w:snapToGrid w:val="0"/>
              <w:spacing w:line="280" w:lineRule="exact"/>
              <w:jc w:val="left"/>
              <w:rPr>
                <w:b/>
                <w:sz w:val="20"/>
              </w:rPr>
            </w:pP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Merge w:val="continue"/>
            <w:tcBorders/>
            <w:vAlign w:val="center"/>
          </w:tcPr>
          <w:p>
            <w:pPr>
              <w:snapToGrid w:val="0"/>
              <w:spacing w:line="280" w:lineRule="exact"/>
              <w:jc w:val="left"/>
              <w:rPr>
                <w:b/>
                <w:sz w:val="20"/>
              </w:rPr>
            </w:pPr>
          </w:p>
        </w:tc>
        <w:tc>
          <w:tcPr>
            <w:tcW w:w="6665" w:type="dxa"/>
            <w:vAlign w:val="center"/>
          </w:tcPr>
          <w:p>
            <w:pPr>
              <w:snapToGrid w:val="0"/>
              <w:spacing w:before="60" w:after="60"/>
              <w:jc w:val="left"/>
              <w:rPr>
                <w:rFonts w:hint="eastAsia" w:ascii="楷体_GB2312" w:eastAsia="楷体_GB2312"/>
                <w:szCs w:val="22"/>
              </w:rPr>
            </w:pPr>
          </w:p>
          <w:p>
            <w:pPr>
              <w:snapToGrid w:val="0"/>
              <w:spacing w:before="60" w:after="60"/>
              <w:jc w:val="left"/>
              <w:rPr>
                <w:rFonts w:hint="eastAsia" w:ascii="楷体_GB2312" w:eastAsia="楷体_GB2312"/>
                <w:szCs w:val="22"/>
              </w:rPr>
            </w:pPr>
            <w:r>
              <w:rPr>
                <w:rFonts w:hint="eastAsia" w:ascii="楷体_GB2312" w:eastAsia="楷体_GB2312"/>
                <w:szCs w:val="22"/>
                <w:lang w:eastAsia="zh-CN"/>
              </w:rPr>
              <w:t>市场部</w:t>
            </w:r>
            <w:r>
              <w:rPr>
                <w:rFonts w:hint="eastAsia" w:ascii="楷体_GB2312" w:eastAsia="楷体_GB2312"/>
                <w:szCs w:val="22"/>
              </w:rPr>
              <w:t>：</w:t>
            </w:r>
            <w:r>
              <w:rPr>
                <w:rFonts w:hint="eastAsia" w:ascii="楷体_GB2312" w:eastAsia="楷体_GB2312"/>
                <w:szCs w:val="22"/>
                <w:lang w:eastAsia="zh-CN"/>
              </w:rPr>
              <w:t>了解部门的分工，跟</w:t>
            </w:r>
            <w:r>
              <w:rPr>
                <w:rFonts w:hint="eastAsia" w:ascii="楷体_GB2312" w:eastAsia="楷体_GB2312"/>
                <w:szCs w:val="22"/>
              </w:rPr>
              <w:t>顾客沟通、合同管理、顾客满意度调查等情况</w:t>
            </w:r>
          </w:p>
          <w:p>
            <w:pPr>
              <w:snapToGrid w:val="0"/>
              <w:spacing w:line="280" w:lineRule="exact"/>
              <w:jc w:val="left"/>
              <w:rPr>
                <w:b/>
                <w:sz w:val="20"/>
              </w:rPr>
            </w:pP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vAlign w:val="center"/>
          </w:tcPr>
          <w:p>
            <w:pPr>
              <w:snapToGrid w:val="0"/>
              <w:spacing w:line="280" w:lineRule="exact"/>
              <w:jc w:val="left"/>
              <w:rPr>
                <w:b/>
                <w:sz w:val="20"/>
              </w:rPr>
            </w:pPr>
          </w:p>
        </w:tc>
        <w:tc>
          <w:tcPr>
            <w:tcW w:w="1505"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12：00-12：30</w:t>
            </w:r>
          </w:p>
        </w:tc>
        <w:tc>
          <w:tcPr>
            <w:tcW w:w="6665" w:type="dxa"/>
            <w:vAlign w:val="center"/>
          </w:tcPr>
          <w:p>
            <w:pPr>
              <w:snapToGrid w:val="0"/>
              <w:spacing w:before="60" w:after="60"/>
              <w:jc w:val="left"/>
              <w:rPr>
                <w:rFonts w:hint="default" w:ascii="宋体" w:hAnsi="宋体" w:eastAsia="宋体"/>
                <w:szCs w:val="21"/>
                <w:lang w:val="en-US" w:eastAsia="zh-CN"/>
              </w:rPr>
            </w:pPr>
            <w:r>
              <w:rPr>
                <w:rFonts w:hint="eastAsia" w:ascii="宋体" w:hAnsi="宋体"/>
                <w:szCs w:val="21"/>
              </w:rPr>
              <w:t>与管理层沟通</w:t>
            </w:r>
            <w:r>
              <w:rPr>
                <w:rFonts w:hint="eastAsia" w:ascii="宋体" w:hAnsi="宋体"/>
                <w:szCs w:val="21"/>
                <w:lang w:val="en-US" w:eastAsia="zh-CN"/>
              </w:rPr>
              <w:t xml:space="preserve">  </w:t>
            </w:r>
            <w:r>
              <w:rPr>
                <w:rFonts w:hint="eastAsia" w:ascii="宋体" w:hAnsi="宋体"/>
                <w:szCs w:val="21"/>
              </w:rPr>
              <w:t>末次会议</w:t>
            </w:r>
          </w:p>
          <w:p>
            <w:pPr>
              <w:snapToGrid w:val="0"/>
              <w:spacing w:line="280" w:lineRule="exact"/>
              <w:jc w:val="left"/>
              <w:rPr>
                <w:b/>
                <w:sz w:val="20"/>
              </w:rPr>
            </w:pPr>
          </w:p>
        </w:tc>
        <w:tc>
          <w:tcPr>
            <w:tcW w:w="119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b/>
                <w:sz w:val="20"/>
                <w:lang w:val="en-US" w:eastAsia="zh-CN"/>
              </w:rPr>
              <w:t>A</w:t>
            </w:r>
          </w:p>
        </w:tc>
      </w:tr>
    </w:tbl>
    <w:p>
      <w:pPr>
        <w:spacing w:line="300" w:lineRule="exact"/>
        <w:ind w:firstLine="4156" w:firstLineChars="2300"/>
        <w:rPr>
          <w:b/>
          <w:color w:val="000000"/>
          <w:sz w:val="18"/>
          <w:szCs w:val="18"/>
        </w:rPr>
      </w:pPr>
    </w:p>
    <w:p>
      <w:pPr>
        <w:tabs>
          <w:tab w:val="left" w:pos="432"/>
        </w:tabs>
        <w:spacing w:line="360" w:lineRule="auto"/>
        <w:ind w:left="432"/>
        <w:textAlignment w:val="center"/>
        <w:rPr>
          <w:b/>
          <w:sz w:val="21"/>
          <w:szCs w:val="21"/>
        </w:rPr>
      </w:pPr>
      <w:r>
        <w:rPr>
          <w:rFonts w:hint="eastAsia"/>
          <w:b/>
          <w:color w:val="000000"/>
          <w:sz w:val="21"/>
          <w:szCs w:val="21"/>
        </w:rPr>
        <w:t>注:</w:t>
      </w:r>
      <w:r>
        <w:rPr>
          <w:rFonts w:hint="eastAsia"/>
          <w:sz w:val="21"/>
          <w:szCs w:val="21"/>
        </w:rPr>
        <w:t>1、</w:t>
      </w:r>
      <w:r>
        <w:rPr>
          <w:rFonts w:hint="eastAsia"/>
          <w:b/>
          <w:sz w:val="21"/>
          <w:szCs w:val="21"/>
        </w:rPr>
        <w:t>一阶段要在现场核实以下内容并填写“申请评审信息（初审/再认证）现场确认表”：</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1）营业执照或相关证件副本原件；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2）生产（安全）许可证、行业许可证、3C证书原件；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3）计量器具的检定证书原件、特种设备备案登记号及鉴定证书原件；产品标准的版本、企标的备案号（适用时）；</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4）型式试验报告；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 xml:space="preserve">5）地理位置图、污水管网图； </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6）生产工艺流程示意图（建设单位还需提供在建项目清单）</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7）环境影响评价报告及批复、“三同时”验收报告；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8）安全、卫生评价报告及批复、“三同时”验收报告；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9）消防验收报告；</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10）由法定资格的环境监测部门对各项污染物的监测数据；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11）由法定资格的劳动、卫生监测部门对组织特种设备、生产车间内有害物质的监测数据；</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12）排污许可证、排污申报登记注册注明、总量控制指标；</w:t>
      </w:r>
    </w:p>
    <w:p>
      <w:pPr>
        <w:tabs>
          <w:tab w:val="left" w:pos="432"/>
        </w:tabs>
        <w:spacing w:line="360" w:lineRule="auto"/>
        <w:ind w:left="432"/>
        <w:textAlignment w:val="center"/>
        <w:rPr>
          <w:rFonts w:ascii="华文细黑" w:hAnsi="华文细黑" w:eastAsia="华文细黑"/>
          <w:b/>
          <w:sz w:val="21"/>
          <w:szCs w:val="21"/>
        </w:rPr>
      </w:pPr>
      <w:r>
        <w:rPr>
          <w:rFonts w:hint="eastAsia" w:ascii="华文细黑" w:hAnsi="华文细黑" w:eastAsia="华文细黑"/>
          <w:b/>
          <w:sz w:val="21"/>
          <w:szCs w:val="21"/>
        </w:rPr>
        <w:t>13）主要资源、能源使用、消耗清单、危险化学品清单。</w:t>
      </w:r>
    </w:p>
    <w:p>
      <w:pPr>
        <w:snapToGrid w:val="0"/>
        <w:spacing w:line="360" w:lineRule="auto"/>
        <w:ind w:left="843" w:hanging="843" w:hangingChars="400"/>
        <w:rPr>
          <w:b/>
          <w:sz w:val="21"/>
          <w:szCs w:val="21"/>
        </w:rPr>
      </w:pPr>
      <w:r>
        <w:rPr>
          <w:rFonts w:hint="eastAsia"/>
          <w:b/>
          <w:sz w:val="21"/>
          <w:szCs w:val="21"/>
        </w:rPr>
        <w:t>2、请在选中的“□”内打“×”。</w:t>
      </w:r>
    </w:p>
    <w:p>
      <w:pPr>
        <w:spacing w:line="360" w:lineRule="auto"/>
        <w:ind w:firstLine="422" w:firstLineChars="200"/>
        <w:jc w:val="left"/>
        <w:rPr>
          <w:b/>
          <w:sz w:val="21"/>
          <w:szCs w:val="21"/>
        </w:rPr>
      </w:pPr>
      <w:r>
        <w:rPr>
          <w:rFonts w:hint="eastAsia"/>
          <w:b/>
          <w:sz w:val="21"/>
          <w:szCs w:val="21"/>
        </w:rPr>
        <w:t>3、如工作语言、审核报告语言不是中文，应在审核计划中说明语言种类；</w:t>
      </w:r>
    </w:p>
    <w:p>
      <w:pPr>
        <w:spacing w:line="360" w:lineRule="auto"/>
        <w:ind w:firstLine="422" w:firstLineChars="200"/>
        <w:jc w:val="left"/>
        <w:rPr>
          <w:b/>
          <w:sz w:val="21"/>
          <w:szCs w:val="21"/>
        </w:rPr>
      </w:pPr>
      <w:r>
        <w:rPr>
          <w:rFonts w:hint="eastAsia"/>
          <w:b/>
          <w:sz w:val="21"/>
          <w:szCs w:val="21"/>
        </w:rPr>
        <w:t>4、主要审核内容</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方针的制定与贯彻情况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环境因素的识别和评价程序合理性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危险源的辨识和评价程序合理性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体系覆盖产品及产品生产关键过程、特殊过程的识别和确认情况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质量管理体系删减条款的合理性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适用的法律和其他要求的获取、识别程序实施情况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组织的目标、指标和管理方案合理性及实施情况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组织法律法规的遵循情况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内审和管理评审的实施情况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 xml:space="preserve">管理体系文件审核 </w:t>
      </w:r>
    </w:p>
    <w:p>
      <w:pPr>
        <w:pStyle w:val="7"/>
        <w:numPr>
          <w:ilvl w:val="0"/>
          <w:numId w:val="1"/>
        </w:numPr>
        <w:tabs>
          <w:tab w:val="left" w:pos="432"/>
        </w:tabs>
        <w:spacing w:line="360" w:lineRule="auto"/>
        <w:ind w:firstLineChars="0"/>
        <w:textAlignment w:val="center"/>
        <w:rPr>
          <w:rFonts w:ascii="华文细黑" w:hAnsi="华文细黑" w:eastAsia="华文细黑"/>
          <w:b/>
          <w:sz w:val="21"/>
          <w:szCs w:val="21"/>
        </w:rPr>
      </w:pPr>
      <w:r>
        <w:rPr>
          <w:rFonts w:hint="eastAsia" w:ascii="华文细黑" w:hAnsi="华文细黑" w:eastAsia="华文细黑"/>
          <w:b/>
          <w:sz w:val="21"/>
          <w:szCs w:val="21"/>
        </w:rPr>
        <w:t>识别二阶段审核的资源配置情况</w:t>
      </w:r>
    </w:p>
    <w:p>
      <w:pPr>
        <w:spacing w:line="360" w:lineRule="auto"/>
        <w:ind w:firstLine="422" w:firstLineChars="200"/>
        <w:jc w:val="left"/>
        <w:rPr>
          <w:b/>
          <w:sz w:val="21"/>
          <w:szCs w:val="21"/>
        </w:rPr>
      </w:pPr>
      <w:r>
        <w:rPr>
          <w:rFonts w:hint="eastAsia"/>
          <w:b/>
          <w:sz w:val="21"/>
          <w:szCs w:val="21"/>
        </w:rPr>
        <w:t>4、审核报告仅发放至审核委托方及本公司。</w:t>
      </w:r>
    </w:p>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Lucida Sans">
    <w:altName w:val="Lucida Sans Unicode"/>
    <w:panose1 w:val="020B06020305040202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ind w:firstLine="720" w:firstLineChars="400"/>
      <w:jc w:val="left"/>
    </w:pPr>
    <w:r>
      <w:pict>
        <v:shape id="_x0000_s2049" o:spid="_x0000_s2049" o:spt="202" type="#_x0000_t202" style="position:absolute;left:0pt;margin-left:330.5pt;margin-top:2.2pt;height:20.2pt;width:155.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一阶段审核计划(03版)</w:t>
                </w:r>
              </w:p>
            </w:txbxContent>
          </v:textbox>
        </v:shape>
      </w:pict>
    </w:r>
    <w:r>
      <w:rPr>
        <w:rStyle w:val="11"/>
        <w:rFonts w:hint="default"/>
        <w:w w:val="90"/>
      </w:rPr>
      <w:t>Beijing International Standard united Certification Co.,Ltd.</w:t>
    </w:r>
  </w:p>
  <w:p>
    <w:pPr>
      <w:pStyle w:val="4"/>
      <w:tabs>
        <w:tab w:val="left" w:pos="4155"/>
        <w:tab w:val="clear" w:pos="4153"/>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91558"/>
    <w:multiLevelType w:val="multilevel"/>
    <w:tmpl w:val="11B91558"/>
    <w:lvl w:ilvl="0" w:tentative="0">
      <w:start w:val="1"/>
      <w:numFmt w:val="decimal"/>
      <w:lvlText w:val="%1)"/>
      <w:lvlJc w:val="left"/>
      <w:pPr>
        <w:ind w:left="852" w:hanging="420"/>
      </w:p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7E105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1080</Characters>
  <Lines>9</Lines>
  <Paragraphs>2</Paragraphs>
  <TotalTime>1</TotalTime>
  <ScaleCrop>false</ScaleCrop>
  <LinksUpToDate>false</LinksUpToDate>
  <CharactersWithSpaces>1267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2015-06-17T12:16:00Z</dcterms:created>
  <dc:creator>微软用户</dc:creator>
  <cp:lastModifiedBy>叶子</cp:lastModifiedBy>
  <cp:lastPrinted>2019-03-27T03:10:00Z</cp:lastPrinted>
  <dcterms:modified xsi:type="dcterms:W3CDTF">2021-06-28T01:53:23Z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1D68FB6989DE4A48947F9247B8059DF4</vt:lpwstr>
  </property>
</Properties>
</file>