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王东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审核员：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姜小清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2021.6.24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</w:t>
            </w:r>
            <w:r>
              <w:rPr>
                <w:rFonts w:hint="eastAsia"/>
                <w:szCs w:val="22"/>
                <w:lang w:val="en-US"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：能源及环境管理体系职责和权限、目标指标方案、环境因素、运行控制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u w:val="none"/>
                <w:lang w:val="en-US" w:eastAsia="zh-CN"/>
              </w:rPr>
              <w:t>（销售计划完成情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况、计量器具管理 ）、应急响应（含外包）、 不符合及纠正措施管调度室有关的环境管理体系控制及运行活动等E\En:5.3/6.2/7.4/8.1/10.1  E:6.1.2/8.2/10.2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负责公司的生产管理和生产组织工作，组织协调好公司各部门的高效运行工作；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负责组织召开日常生产调度会，生产分析会；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负责合理平衡生产所需的水、电、煤、油等。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环境因素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E6.1.2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编制了公司总的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《环境因素识别与评价表》环境因素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10项、具体“生活污水排放、固废含危废（废润滑油废液压油）、生活垃圾排放、废旧墨盒硒鼓等办公垃圾废弃、潜在火灾”等、未见明显遗漏；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确定的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环境影响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具体为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大气污染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土壤污染等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三种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时态和状态的说明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环境影响评价方法为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打分法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提供了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《重要环境因素清单》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3项、主要为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潜在火灾、危废排放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有控制方法的相关内容，查环境因素识别基本符合实际情况，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未见明显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遗漏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、评价基本准确；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对应了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风险和机遇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中重要环境因素的相关信息、未见明显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遗漏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符合规定；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上述文件有编审批、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更新日期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2021.3.1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环境目标及其实现的策划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编制了《2020年环境目标、指标和管理方案》具体：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公司总环境目标指标：“火灾事故发生率为0”、“固体废弃物分类处理率100%”；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——查上述目标基本与环境方针保持一致；可度量（如可行）或可进行绩效评价； 考虑：适用的要求；风险和机遇的评价结果；得到监视；予以沟通；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方案包括：锅炉房脱硫脱硝、生活废水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统一处理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、固废分类（危废定点处置）等；另查 方案中已经包含了：具体工作内容、需要资源财力、负责人、完成时间节点、包括用于监视的参数的结果评价方式、措施在其业务过程中的应用情况；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查2020年组织目标指标已经实现、符合规定；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2021年至今环境目标基本达标、未发生环境事件事故、符合规定；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编制了《2020年能源目标、指标、方案》；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公司总能源目标指标：“年节能量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10吨标煤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以上”；部门执行公司的总能源目标方案；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——查结合了“法律法规要求”、“主要能源使用和改进机会”、“财务”、“运行”、“经营条件”、“技术和相关方要求”等；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方案：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日常节水节电避免跑冒滴漏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等；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查2020年能源目标指标达成；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查2021年至今环境和能源目标均已完成；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沟通</w:t>
            </w:r>
          </w:p>
          <w:p/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能源信息的传递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交流；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建立实施和保持适当的信息交流沟通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确保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公司内部以及与外部相关方的联系和回应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保证能源管理体系的有效运行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其中：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内部信息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法律法规、标准及其他要求、目标、指标及管理方案的实施、能源基准及能源绩效参数、体系运行的监测结果、内审和管理评审的结果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传达到各部门；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另内部环境能源体系宣传教育包括：环境因素识别方法、环境影响及危害、节能形势政策；节约能源带来的社会和经济效益；交流节能技术；节能知识竞赛；组建节能小组；征集合理化建议；评选节能先进；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>外部信息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流：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环保局技监局及其他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接收收集的环境及能源供应信息及时传递给相关方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方式：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传真、会议、公告栏、简报、意见箱、微信群等；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沟通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  <w:t>环境能源控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制：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编制了“环境、能源管理制度”、日常办公注意节水节电、按照销售要求完成生产任务、合理安排计划产量等；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现场检查相关人员环保及节能意识基本符合规定；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查销售计划完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成情况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企业销售活动包括：顾客沟通、顾客要求的确定、销售合同的评审等；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提供《煤炭购销合同》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编号BJ1-43、日期2020.1.——长期有效；需方：准格尔旗宏顺煤炭有限公司、合同包括“质量要求、数量、交付价格”等、双方盖章确认；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另查《煤炭购销合同》编号BJ1-41、日期2020.3.1——长期有效；需方：准格尔旗壕赖梁煤炭配送有限公司、合同包括“质量要求、数量、交付价格”等、双方盖章确认；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——查合同评审有效符合规定；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应急准备和响应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8.2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演练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查演练记录：实操日期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2020.11.28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、《签到表》包括等参加人签字信息，提供演练现场照片显示使用灭火器灭火等场景、基本真实可信；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预案评审结论基本充分；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查近一年来未发生过紧急情况和事故；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10.1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C9C28B9"/>
    <w:rsid w:val="0CF657C0"/>
    <w:rsid w:val="0E687916"/>
    <w:rsid w:val="108219C2"/>
    <w:rsid w:val="126D43E8"/>
    <w:rsid w:val="15BE305E"/>
    <w:rsid w:val="1AE01ED1"/>
    <w:rsid w:val="1C5A1168"/>
    <w:rsid w:val="1D1A1A2F"/>
    <w:rsid w:val="331E6C07"/>
    <w:rsid w:val="3AF217D4"/>
    <w:rsid w:val="3C2D68DB"/>
    <w:rsid w:val="3D442811"/>
    <w:rsid w:val="3E4B09DA"/>
    <w:rsid w:val="3E66760B"/>
    <w:rsid w:val="40597BA9"/>
    <w:rsid w:val="42337D07"/>
    <w:rsid w:val="500E410B"/>
    <w:rsid w:val="52DC6C84"/>
    <w:rsid w:val="57712BDF"/>
    <w:rsid w:val="5A0C0B9B"/>
    <w:rsid w:val="5AA928CE"/>
    <w:rsid w:val="5BE05D51"/>
    <w:rsid w:val="5DD506C6"/>
    <w:rsid w:val="5EA12B9A"/>
    <w:rsid w:val="5F9F1BDA"/>
    <w:rsid w:val="5FC43A0F"/>
    <w:rsid w:val="62375775"/>
    <w:rsid w:val="68BA6FD9"/>
    <w:rsid w:val="698220FD"/>
    <w:rsid w:val="71266975"/>
    <w:rsid w:val="73927031"/>
    <w:rsid w:val="789077A0"/>
    <w:rsid w:val="78B27ED5"/>
    <w:rsid w:val="7E1C7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10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2021-06-23T06:31:28Z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6BF28CD1886245819832781EB1035794</vt:lpwstr>
  </property>
</Properties>
</file>