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技术</w:t>
            </w:r>
            <w:r>
              <w:rPr>
                <w:rFonts w:hint="eastAsia" w:cs="Times New Roman"/>
                <w:sz w:val="24"/>
                <w:szCs w:val="24"/>
                <w:lang w:val="en-US" w:eastAsia="zh-CN"/>
              </w:rPr>
              <w:t xml:space="preserve">科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主管领导：</w:t>
            </w:r>
            <w:r>
              <w:rPr>
                <w:rFonts w:hint="eastAsia" w:cs="Times New Roman"/>
                <w:sz w:val="24"/>
                <w:szCs w:val="24"/>
                <w:lang w:val="en-US" w:eastAsia="zh-CN"/>
              </w:rPr>
              <w:t>王东</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cs="Times New Roman"/>
                <w:sz w:val="24"/>
                <w:szCs w:val="24"/>
                <w:lang w:val="en-US" w:eastAsia="zh-CN"/>
              </w:rPr>
              <w:t>李杰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cs="Times New Roman"/>
                <w:sz w:val="24"/>
                <w:szCs w:val="24"/>
                <w:lang w:val="en-US" w:eastAsia="zh-CN"/>
              </w:rPr>
              <w:t>姜小清</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宋体" w:hAnsi="宋体" w:eastAsia="宋体" w:cs="宋体"/>
                <w:sz w:val="24"/>
                <w:szCs w:val="24"/>
              </w:rPr>
              <w:t>：</w:t>
            </w:r>
            <w:r>
              <w:rPr>
                <w:rFonts w:hint="eastAsia" w:ascii="宋体" w:hAnsi="宋体" w:cs="宋体"/>
                <w:sz w:val="24"/>
                <w:szCs w:val="24"/>
                <w:lang w:val="en-US" w:eastAsia="zh-CN"/>
              </w:rPr>
              <w:t>2021.6.24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w:t>
            </w:r>
            <w:r>
              <w:rPr>
                <w:rFonts w:hint="eastAsia" w:ascii="Times New Roman" w:hAnsi="Times New Roman" w:cs="Times New Roman"/>
                <w:sz w:val="24"/>
                <w:szCs w:val="24"/>
                <w:lang w:val="en-US" w:eastAsia="zh-CN"/>
              </w:rPr>
              <w:t>能源及环境管理体系职责和权限、目标指标方案、环境因素、运行控制、能源设计、应急演练、不符合及纠正措施技术科</w:t>
            </w:r>
            <w:r>
              <w:rPr>
                <w:rFonts w:hint="eastAsia" w:ascii="Times New Roman" w:hAnsi="Times New Roman" w:cs="Times New Roman"/>
                <w:sz w:val="24"/>
                <w:szCs w:val="24"/>
              </w:rPr>
              <w:t>有关的环境管理体系控制及运行活动等</w:t>
            </w:r>
            <w:r>
              <w:rPr>
                <w:rFonts w:hint="eastAsia" w:ascii="Times New Roman" w:hAnsi="Times New Roman" w:cs="Times New Roman"/>
                <w:sz w:val="24"/>
                <w:szCs w:val="24"/>
                <w:lang w:val="en-US" w:eastAsia="zh-CN"/>
              </w:rPr>
              <w:t>E\En:5.3/6.2/8.1/8.2/9.1.1/10.1  E:6.1.2/10.2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160" w:type="dxa"/>
          </w:tcPr>
          <w:p>
            <w:pPr>
              <w:snapToGrid w:val="0"/>
              <w:spacing w:line="320" w:lineRule="exact"/>
              <w:ind w:left="180" w:hanging="240" w:hangingChars="1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组织的岗位、职责和权限</w:t>
            </w:r>
          </w:p>
          <w:p>
            <w:pPr>
              <w:snapToGrid w:val="0"/>
              <w:spacing w:line="320" w:lineRule="exact"/>
              <w:ind w:left="180" w:hanging="240" w:hangingChars="100"/>
              <w:jc w:val="left"/>
              <w:rPr>
                <w:rFonts w:hint="eastAsia" w:ascii="Times New Roman" w:hAnsi="Times New Roman" w:cs="Times New Roman"/>
                <w:sz w:val="24"/>
                <w:szCs w:val="24"/>
                <w:lang w:val="en-US" w:eastAsia="zh-CN"/>
              </w:rPr>
            </w:pPr>
          </w:p>
        </w:tc>
        <w:tc>
          <w:tcPr>
            <w:tcW w:w="960"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 5.3</w:t>
            </w:r>
          </w:p>
        </w:tc>
        <w:tc>
          <w:tcPr>
            <w:tcW w:w="10004"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技术部主要负责人：</w:t>
            </w:r>
            <w:r>
              <w:rPr>
                <w:rFonts w:hint="eastAsia" w:cs="Times New Roman"/>
                <w:sz w:val="24"/>
                <w:szCs w:val="24"/>
                <w:lang w:val="en-US" w:eastAsia="zh-CN"/>
              </w:rPr>
              <w:t>王东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主要工作内容和职责权限：</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负责公司的节能设计工作；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负责生产设备的节能改造工作；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负责生产系统的节能改造工作；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负责节能新项目的设计工作；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负责技术部相关的环境管理活动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负责本部门环境管理体系的运行及环境因素的识别工作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包括以上职责在内的具体内容在公司《管理手册》中描述。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napToGrid w:val="0"/>
              <w:spacing w:line="320" w:lineRule="exact"/>
              <w:ind w:left="180" w:hanging="240" w:hangingChars="1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目标，能源指标及其实现的策划</w:t>
            </w:r>
          </w:p>
          <w:p>
            <w:pPr>
              <w:snapToGrid w:val="0"/>
              <w:spacing w:line="320" w:lineRule="exact"/>
              <w:ind w:left="180" w:hanging="240" w:hangingChars="100"/>
              <w:jc w:val="left"/>
              <w:rPr>
                <w:rFonts w:hint="eastAsia" w:ascii="Times New Roman" w:hAnsi="Times New Roman" w:cs="Times New Roman"/>
                <w:sz w:val="24"/>
                <w:szCs w:val="24"/>
                <w:lang w:val="en-US" w:eastAsia="zh-CN"/>
              </w:rPr>
            </w:pPr>
          </w:p>
        </w:tc>
        <w:tc>
          <w:tcPr>
            <w:tcW w:w="960"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执行《管理手册》及《方针目标管理制度》</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部门目标：                         考核情况（2021.1-4月）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固体废弃物分类处理率100%；            100%</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火灾事故为0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查目标完成情况统计表，经查显示目标均已完成。</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对以上的目标指标制定了管理方案：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环境管理方案，查管理方案表，共2项：</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1、办公用硒鼓、墨盒等固废；办公废弃物等分类收集保管，交由相应部门处置；</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2、杜绝火灾发生，制定了管理方案: 制定3项管理方案：.制定相应的管理制度并严格执行，配备必要的防火设施（包括灭火器等）并保证其完好</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成立应急响应工作小组（见《应急预案》）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淘汰过期、报废设备,对灭火器更新；每年进行一次消防演习。执行部门：各部门，检查人：</w:t>
            </w:r>
            <w:r>
              <w:rPr>
                <w:rFonts w:hint="eastAsia" w:cs="Times New Roman"/>
                <w:sz w:val="24"/>
                <w:szCs w:val="24"/>
                <w:lang w:val="en-US" w:eastAsia="zh-CN"/>
              </w:rPr>
              <w:t>王东</w:t>
            </w:r>
            <w:r>
              <w:rPr>
                <w:rFonts w:hint="eastAsia" w:ascii="Times New Roman" w:hAnsi="Times New Roman" w:eastAsia="宋体" w:cs="Times New Roman"/>
                <w:sz w:val="24"/>
                <w:szCs w:val="24"/>
                <w:lang w:eastAsia="zh-CN"/>
              </w:rPr>
              <w:t xml:space="preserve"> </w:t>
            </w:r>
            <w:r>
              <w:rPr>
                <w:rFonts w:hint="eastAsia" w:ascii="宋体" w:hAnsi="宋体" w:eastAsia="宋体" w:cs="宋体"/>
                <w:sz w:val="24"/>
                <w:szCs w:val="24"/>
                <w:lang w:val="en-US" w:eastAsia="zh-CN"/>
              </w:rPr>
              <w:t xml:space="preserve"> ，资金投入8000元，执行日期：长期</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制定的指标和管理方案基本可行。</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本部门没有分解能源目标指标，执行公司的目标执行。</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环境因素</w:t>
            </w:r>
          </w:p>
        </w:tc>
        <w:tc>
          <w:tcPr>
            <w:tcW w:w="960" w:type="dxa"/>
            <w:vAlign w:val="center"/>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E6.1.2</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center"/>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编制了《环境因素的识别与评价控制程序》符合标准要求.</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提供的“环境因素识别评价表”， 评价考虑了三种时态现在、过去、将来、三种状态、异常、正常、紧急考虑了法律法规，并进行了评价，露天煤矿的开采过程相关的服务，用打分法考虑了法规符合性、发生频次、影响范围等, 通过定性判断法，共识别出重大环境因素2项：固废排放、火灾，评价符合程序要求及公司的实际情况。</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对重要环境因素的控制措施包括制定管理制度、监督检查、应急预案、培训等。提供《重要环境因素识别清单》本部门技术部涉及的重要环境因素：固废排放、意外火灾的发生，评价基本合理。</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top"/>
          </w:tcPr>
          <w:p>
            <w:pPr>
              <w:rPr>
                <w:rFonts w:hint="eastAsia"/>
                <w:lang w:val="en-US" w:eastAsia="zh-CN"/>
              </w:rPr>
            </w:pPr>
            <w:r>
              <w:rPr>
                <w:rFonts w:hint="eastAsia"/>
                <w:lang w:val="en-US" w:eastAsia="zh-CN"/>
              </w:rPr>
              <w:t>运行策划和控制</w:t>
            </w:r>
          </w:p>
          <w:p>
            <w:pPr>
              <w:pStyle w:val="2"/>
              <w:rPr>
                <w:rFonts w:hint="eastAsia" w:ascii="宋体" w:hAnsi="宋体" w:eastAsia="宋体" w:cs="宋体"/>
                <w:b w:val="0"/>
                <w:bCs w:val="0"/>
                <w:color w:val="auto"/>
                <w:sz w:val="24"/>
                <w:szCs w:val="24"/>
                <w:lang w:val="en-US" w:eastAsia="zh-CN"/>
              </w:rPr>
            </w:pPr>
          </w:p>
          <w:p>
            <w:pPr>
              <w:pStyle w:val="2"/>
              <w:rPr>
                <w:rFonts w:hint="eastAsia" w:ascii="宋体" w:hAnsi="宋体" w:eastAsia="宋体" w:cs="宋体"/>
                <w:b w:val="0"/>
                <w:bCs w:val="0"/>
                <w:color w:val="auto"/>
                <w:sz w:val="24"/>
                <w:szCs w:val="24"/>
                <w:lang w:val="en-US" w:eastAsia="zh-CN"/>
              </w:rPr>
            </w:pPr>
          </w:p>
          <w:p>
            <w:pPr>
              <w:pStyle w:val="2"/>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能源设计</w:t>
            </w:r>
          </w:p>
        </w:tc>
        <w:tc>
          <w:tcPr>
            <w:tcW w:w="960"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 8.1</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En 8.2</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能源控制：</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编制了《能源管理制度汇编》、《安全生产经济运行作业指导书汇编》包括“日常能源管理要求、生产设备的节能操作规定”等内容；</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节约能源管理办法》包括“管理机构与职责、节能基础管理、节能技术管理、节能技术措施、节能监测与管理、宣传、教育与培训”等；具体“加强耗能设备的使用和维护管理。对于严重超耗的设备，采取停运、封存、更新改造等措施，加以控制。</w:t>
            </w:r>
          </w:p>
          <w:p>
            <w:pPr>
              <w:pStyle w:val="11"/>
              <w:ind w:left="0" w:leftChars="0" w:firstLine="0" w:firstLineChars="0"/>
              <w:rPr>
                <w:rFonts w:hint="eastAsia" w:ascii="宋体" w:hAnsi="宋体" w:cs="宋体"/>
                <w:sz w:val="24"/>
                <w:szCs w:val="24"/>
                <w:lang w:val="en-US" w:eastAsia="zh-CN"/>
              </w:rPr>
            </w:pPr>
          </w:p>
          <w:p>
            <w:pPr>
              <w:pStyle w:val="11"/>
              <w:ind w:left="0" w:leftChars="0" w:firstLine="0" w:firstLineChars="0"/>
              <w:rPr>
                <w:rFonts w:hint="default"/>
                <w:lang w:val="en-US" w:eastAsia="zh-CN"/>
              </w:rPr>
            </w:pPr>
            <w:r>
              <w:rPr>
                <w:rFonts w:hint="eastAsia" w:ascii="宋体" w:hAnsi="宋体" w:cs="宋体"/>
                <w:sz w:val="24"/>
                <w:szCs w:val="24"/>
                <w:lang w:val="en-US" w:eastAsia="zh-CN"/>
              </w:rPr>
              <w:t>能</w:t>
            </w:r>
            <w:r>
              <w:rPr>
                <w:rFonts w:hint="eastAsia" w:ascii="宋体" w:hAnsi="宋体" w:cs="宋体"/>
                <w:sz w:val="24"/>
                <w:szCs w:val="24"/>
                <w:u w:val="single"/>
                <w:lang w:val="en-US" w:eastAsia="zh-CN"/>
              </w:rPr>
              <w:t>源设计开</w:t>
            </w:r>
            <w:r>
              <w:rPr>
                <w:rFonts w:hint="eastAsia" w:ascii="宋体" w:hAnsi="宋体" w:cs="宋体"/>
                <w:sz w:val="24"/>
                <w:szCs w:val="24"/>
                <w:lang w:val="en-US" w:eastAsia="zh-CN"/>
              </w:rPr>
              <w:t>发：</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提供“三期新改扩建项目设计开发（更改）”（2020~2021）</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一、资源量</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本矿田内资源储量为438.61Mt(地表境界)，设计可采储量44.26Mt(开采境界)，可采原煤量266.24Mt(开采境界)。</w:t>
            </w:r>
            <w:r>
              <w:rPr>
                <w:rFonts w:hint="eastAsia" w:ascii="宋体" w:hAnsi="宋体" w:cs="宋体"/>
                <w:sz w:val="24"/>
                <w:szCs w:val="24"/>
                <w:lang w:val="en-US" w:eastAsia="zh-CN"/>
              </w:rPr>
              <w:t xml:space="preserve"> </w:t>
            </w:r>
            <w:bookmarkStart w:id="0" w:name="_GoBack"/>
            <w:bookmarkEnd w:id="0"/>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按1.1的储量备用系数，计算矿山一期服务年限为48.40a。</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  产品方案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一、原煤质量</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本露天矿的煤为褐煤，原煤平均灰分为15.91%，原煤内在水分13.46%，属中高水分煤；原煤硫份为2.08%，属中高硫分煤；原煤干燥基高位发热量为23.27MJ/kg，属于中高热值煤。</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二、产品定位</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煤的产品方案必须依据煤的用户对煤的要求确定。本矿的主要用户为电厂，其对煤质的要求为：发热量Qnet.ar大于2800kcal/kg，粒度小于100mm，灰分Ad小于15.00%，水分Mt小于44.50%，硫分St小于1.50%。由于本区产品煤硫分属中高硫煤，且以有机硫为主，因此对应的电厂应配备相应的脱硫及回收硫的装置，以满足环保要求，实现综合利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三、原煤的加工</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稳定原煤质量，对本矿毛煤进行适当地分选排矸。由于本露天矿生产原煤为低变质程度的褐煤，基于此特殊煤种具有内在水分比较高且矸石泥化比较严重的特点，因此对毛煤若采用湿法分选降灰以提高发热量，其幅度不会很大，反而增加了更多的外在水分，对提高煤炭发热量不利，并且带来煤泥水处理等新的难题。考虑到本矿生产原煤硫分较高，所以原煤必须进行分选加工，本矿原煤采用智能干法选煤技术进行选矸。需增加建设块煤智能排矸系统，以满足环保政策的需要。最终产品平衡表见下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四、运输方案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推荐的开采工艺和芒来露天矿煤层赋存规律，将运煤通道设置在工作帮南侧，运煤卡车出入沟设置在采场西南角,运煤自卸卡车经煤层顶板到工作帮的移动运煤坑线，经运煤出入沟，运到设在地面的半固定破碎站。</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剥离物运输通道共有东北角和西北角两处，剥离物经液压装载到运岩自卸卡车，运岩自卸卡车可以就近通过其中一条运输通道到达外排土场(内排时为内排土场)排弃。</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  露天矿工业场地</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首采区位置及本矿煤层赋存条件、地形特征、地面生产系统及总平面布置等因素，结合露天矿采掘场开采现状，从改扩建基建工程量大小、煤层赋存是否可靠进行分析，利用既有采坑外扩的方案，即利用原芒来露天矿采坑向南和东两个方向外扩。</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根据露天矿排土场选择原则及外排总量要求，并结合推荐的拉沟位置、开采工艺、采区划分及开采程序，在拉沟位置附近的境界外北侧和西侧，布置北排土场、西南排土场。</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场地场址经多方案比较，确定工业场地（为生活及辅助设施区）位于露天矿首采区采掘场的北部境界外200m处，北排土场西侧底部边界400m以外；生产场地靠近铁路装车线；工业场地地势平坦，受烟尘及煤尘影响较小，生产场地的人流及煤炭的外运方便。露天矿地面总布置见下图。</w:t>
            </w:r>
          </w:p>
          <w:p>
            <w:pPr>
              <w:snapToGrid w:val="0"/>
              <w:spacing w:line="320" w:lineRule="exact"/>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查生产计划完成情况：</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提供2020年能源消费量汇总表：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淘汰落后耗能设备：</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提供生产设备清单、公司目前正在施工的是新破碎机的安装、老旧设备已经淘汰；</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另挖掘装载运输车辆、破碎机等大型矿用设备、设备的运行状况基本符合要求、无更换必要；</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采矿现场审核：</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距离总部0.5公里现场有数个大小矿坑、作业流程：挖掘机对地表土壤进行挖掘、由装载车辆将土壤装载在运输车辆上运走——挖土过程，车辆行驶到附近规定区域进行卸载、并由其他土建设备堆成小山——堆土过程；挖开的土壤下面露出煤层、由挖掘机和运输车辆进行和美的挖掘和采运（——挖煤过程）、送至破碎工作区由破碎机破碎后运出矿区；</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现场将矿坑中的雨水回收、经小型污水站处理后进行现场降尘和绿化使用；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小型电式锅炉用于人员洗澡热水的制备；</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——现场发现主要能源使用：“柴汽油”提供车辆运行，电力：提供破碎机等电气设备使用；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——主要耗能设备：挖掘装载运输车辆、破碎机等大型矿用设备；</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——现场观察车辆运行缓慢、人员操作认真仔细、指挥人员指导有方、整个生产现场运行有序、符合能源相关管理规定；</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装载运输车辆发生故障、相关部门及时提供维修服务、确保车辆处于正常状态；</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应急情况：电线起火断电、破碎机停止运转、对设备和生产无影响；</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配电室：有变压器等调压设备、机箱机柜配电盘等未发现处于空载状态、符合规定；</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锅炉房：电力加热开水、节能等级达标；</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小型污水站：水泵将库存雨水抽入经过滤网过滤后排入水池、用于绿化和降尘洒水；水泵电机功率较低（5.5KW）、并处于不定时工作状态、耗能较低；</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柴汽油计量：车辆到当地加油站加油、耗油量通过发票数据收集计算；</w:t>
            </w: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环境控制：</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1.编制了《能源管理制度》、《环境管理制度》、《生产设备操作规程》等；</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2、废水管控：办公废水主要生活废水，经过生活污水处理设施，不外排，用于绿化</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3废气管控：办公现场基本无废气排放。</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4、声管控：办公噪声主要是复印机运行，噪声较低，采取措施按时清洁保养。</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5、固废管控：主要为生活垃圾，综合部有垃圾篓集中倒入垃圾站由市政环卫运送至统一地点集中处理。</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6、能源资源管控：办公过程注意节水、节电、节油，人走关闭开关，现场采用声控节能灯，未发现有漏水和浪费电能的现象。</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7、潜在火灾管控公司办公配备有灭火栓、灭火器，消防通道畅通，每半年有检查，符合要求。</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8、环境防护：公司对厂区环境进行美化，种植绿树，有约10000平米小花园，同时公司人员不随地吐痰、不乱扔纸屑、注意保护环境。</w:t>
            </w:r>
          </w:p>
          <w:p>
            <w:pPr>
              <w:snapToGrid w:val="0"/>
              <w:spacing w:line="320" w:lineRule="exact"/>
              <w:ind w:left="180" w:hanging="240" w:hangingChars="100"/>
              <w:jc w:val="left"/>
              <w:rPr>
                <w:rFonts w:hint="eastAsia"/>
                <w:lang w:val="en-US" w:eastAsia="zh-CN"/>
              </w:rPr>
            </w:pPr>
            <w:r>
              <w:rPr>
                <w:rFonts w:hint="eastAsia" w:ascii="宋体" w:hAnsi="宋体" w:eastAsia="宋体" w:cs="宋体"/>
                <w:sz w:val="24"/>
                <w:szCs w:val="24"/>
                <w:lang w:val="en-US" w:eastAsia="zh-CN"/>
              </w:rPr>
              <w:t>9.公司食堂油烟安装有油烟净化装置，食堂油烟达标排放</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10.生活固废排放：由生活垃圾由锡林郭勒盟慧丰清轩服务有限公司，进行收集清运，见到协议及营业执照，见附件</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环境及能源运行符合要求</w:t>
            </w:r>
            <w:r>
              <w:rPr>
                <w:rFonts w:hint="eastAsia" w:ascii="宋体" w:hAnsi="宋体" w:cs="宋体"/>
                <w:sz w:val="24"/>
                <w:szCs w:val="24"/>
                <w:lang w:val="en-US" w:eastAsia="zh-CN"/>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160"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监视、测量、分析和评价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vertAlign w:val="baseline"/>
                <w:lang w:val="en-US" w:eastAsia="zh-CN"/>
              </w:rPr>
              <w:t>总则</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分析与评价</w:t>
            </w:r>
          </w:p>
          <w:p>
            <w:pPr>
              <w:pStyle w:val="3"/>
              <w:rPr>
                <w:rFonts w:hint="eastAsia" w:ascii="宋体" w:hAnsi="宋体" w:eastAsia="宋体" w:cs="宋体"/>
                <w:sz w:val="24"/>
                <w:szCs w:val="24"/>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rPr>
                <w:rFonts w:hint="eastAsia" w:ascii="宋体" w:hAnsi="宋体" w:eastAsia="宋体" w:cs="宋体"/>
                <w:sz w:val="24"/>
                <w:szCs w:val="24"/>
              </w:rPr>
            </w:pPr>
          </w:p>
        </w:tc>
        <w:tc>
          <w:tcPr>
            <w:tcW w:w="960"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9.1.1</w:t>
            </w:r>
          </w:p>
          <w:p>
            <w:pPr>
              <w:rPr>
                <w:rFonts w:hint="eastAsia" w:ascii="宋体" w:hAnsi="宋体" w:eastAsia="宋体" w:cs="宋体"/>
                <w:sz w:val="24"/>
                <w:szCs w:val="24"/>
                <w:lang w:val="en-US" w:eastAsia="zh-CN"/>
              </w:rPr>
            </w:pPr>
          </w:p>
        </w:tc>
        <w:tc>
          <w:tcPr>
            <w:tcW w:w="10004" w:type="dxa"/>
            <w:vAlign w:val="top"/>
          </w:tcPr>
          <w:p>
            <w:pPr>
              <w:numPr>
                <w:ilvl w:val="0"/>
                <w:numId w:val="1"/>
              </w:numPr>
              <w:rPr>
                <w:rFonts w:hint="eastAsia" w:ascii="宋体" w:hAnsi="宋体" w:cs="宋体"/>
                <w:sz w:val="24"/>
                <w:szCs w:val="24"/>
                <w:lang w:val="en-US" w:eastAsia="zh-CN"/>
              </w:rPr>
            </w:pPr>
            <w:r>
              <w:rPr>
                <w:rFonts w:hint="eastAsia" w:ascii="宋体" w:hAnsi="宋体" w:cs="宋体"/>
                <w:sz w:val="24"/>
                <w:szCs w:val="24"/>
                <w:lang w:val="en-US" w:eastAsia="zh-CN"/>
              </w:rPr>
              <w:t>提供日常环境卫生检查单、有清扫内容、责任人及达标要求内容；</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消防设施有点检表、责任确认信息完整；</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查“环境目标、指标和方案的完成情况”——达标；</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查《能源监视测量程序》规定的监测项目包括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1.目标和能源指标（已经达成）；</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2.能源绩效参数EnPI（S）；</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3.主要能源使用（SEUs）的运行；</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4.实际能耗与预期能耗的对比评价；</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5.评价了其能源绩效和能源管理体系的有效性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6-1.通过比较能源绩效参数值（EnPI值）和相应的能源基准（EnB）评价能源绩效的改进。</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6-2.（2019~2020年组织未发现能源绩效中出现重大偏差情况）； </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不符合和纠正措施</w:t>
            </w:r>
          </w:p>
        </w:tc>
        <w:tc>
          <w:tcPr>
            <w:tcW w:w="960"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E\En </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snapToGrid w:val="0"/>
              <w:spacing w:line="320" w:lineRule="exact"/>
              <w:jc w:val="left"/>
              <w:rPr>
                <w:rFonts w:hint="eastAsia" w:ascii="宋体" w:hAnsi="宋体" w:eastAsia="宋体" w:cs="宋体"/>
                <w:sz w:val="24"/>
                <w:szCs w:val="24"/>
                <w:lang w:val="en-US" w:eastAsia="zh-CN"/>
              </w:rPr>
            </w:pPr>
          </w:p>
        </w:tc>
        <w:tc>
          <w:tcPr>
            <w:tcW w:w="1585" w:type="dxa"/>
            <w:vAlign w:val="top"/>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9B392"/>
    <w:multiLevelType w:val="singleLevel"/>
    <w:tmpl w:val="8589B3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A63EB"/>
    <w:rsid w:val="1BBA6D12"/>
    <w:rsid w:val="1C790219"/>
    <w:rsid w:val="20434BC1"/>
    <w:rsid w:val="289163DA"/>
    <w:rsid w:val="34442BDC"/>
    <w:rsid w:val="34D875B7"/>
    <w:rsid w:val="38992321"/>
    <w:rsid w:val="3B244308"/>
    <w:rsid w:val="3FAA28AE"/>
    <w:rsid w:val="417764C6"/>
    <w:rsid w:val="4D305845"/>
    <w:rsid w:val="4DF567C6"/>
    <w:rsid w:val="5184369C"/>
    <w:rsid w:val="53F25BEA"/>
    <w:rsid w:val="5DEE0416"/>
    <w:rsid w:val="60E45655"/>
    <w:rsid w:val="79895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Plain Text"/>
    <w:basedOn w:val="1"/>
    <w:qFormat/>
    <w:uiPriority w:val="0"/>
    <w:rPr>
      <w:rFonts w:ascii="宋体" w:hAnsi="Courier New"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11">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正文001"/>
    <w:basedOn w:val="1"/>
    <w:qFormat/>
    <w:uiPriority w:val="0"/>
    <w:pPr>
      <w:spacing w:line="500" w:lineRule="exact"/>
      <w:ind w:firstLine="200" w:firstLineChars="200"/>
    </w:pPr>
    <w:rPr>
      <w:rFonts w:eastAsia="华文中宋" w:cs="华文中宋"/>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2021-06-23T05:55:45Z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B990813B6CEF40078C0B91DE1BED4225</vt:lpwstr>
  </property>
</Properties>
</file>