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10"/>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110" w:type="dxa"/>
            <w:vAlign w:val="center"/>
          </w:tcPr>
          <w:p>
            <w:pPr>
              <w:rPr>
                <w:rFonts w:hint="default" w:ascii="宋体" w:hAnsi="宋体" w:cs="宋体"/>
                <w:color w:val="auto"/>
                <w:sz w:val="24"/>
                <w:szCs w:val="24"/>
                <w:lang w:val="en-US" w:eastAsia="zh-CN"/>
              </w:rPr>
            </w:pPr>
            <w:r>
              <w:rPr>
                <w:rFonts w:hint="eastAsia" w:ascii="宋体" w:hAnsi="宋体" w:cs="宋体"/>
                <w:color w:val="auto"/>
                <w:sz w:val="24"/>
                <w:szCs w:val="24"/>
              </w:rPr>
              <w:t>受审核部门：</w:t>
            </w:r>
            <w:r>
              <w:rPr>
                <w:rFonts w:hint="eastAsia" w:ascii="宋体" w:hAnsi="宋体" w:cs="宋体"/>
                <w:color w:val="auto"/>
                <w:sz w:val="24"/>
                <w:szCs w:val="24"/>
                <w:lang w:val="en-US" w:eastAsia="zh-CN"/>
              </w:rPr>
              <w:t>财务部</w:t>
            </w:r>
            <w:r>
              <w:rPr>
                <w:rFonts w:hint="eastAsia" w:ascii="宋体" w:hAnsi="宋体" w:cs="宋体"/>
                <w:color w:val="auto"/>
                <w:sz w:val="24"/>
                <w:szCs w:val="24"/>
              </w:rPr>
              <w:t xml:space="preserve">       主管领导：</w:t>
            </w:r>
            <w:r>
              <w:rPr>
                <w:rFonts w:hint="eastAsia"/>
                <w:color w:val="auto"/>
              </w:rPr>
              <w:t>贺二东</w:t>
            </w:r>
            <w:r>
              <w:rPr>
                <w:rFonts w:hint="eastAsia" w:ascii="宋体" w:hAnsi="宋体" w:cs="宋体"/>
                <w:color w:val="auto"/>
                <w:sz w:val="24"/>
                <w:szCs w:val="24"/>
              </w:rPr>
              <w:t xml:space="preserve">   陪同人员： </w:t>
            </w:r>
            <w:r>
              <w:rPr>
                <w:rFonts w:hint="eastAsia"/>
                <w:color w:val="auto"/>
              </w:rPr>
              <w:t>谢振华</w:t>
            </w:r>
          </w:p>
        </w:tc>
        <w:tc>
          <w:tcPr>
            <w:tcW w:w="1479"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110" w:type="dxa"/>
            <w:vAlign w:val="center"/>
          </w:tcPr>
          <w:p>
            <w:pPr>
              <w:rPr>
                <w:rFonts w:hint="default" w:ascii="宋体" w:hAnsi="宋体" w:cs="宋体"/>
                <w:color w:val="auto"/>
                <w:sz w:val="24"/>
                <w:szCs w:val="24"/>
                <w:lang w:val="en-US" w:eastAsia="zh-CN"/>
              </w:rPr>
            </w:pPr>
            <w:r>
              <w:rPr>
                <w:rFonts w:hint="eastAsia" w:ascii="宋体" w:hAnsi="宋体" w:cs="宋体"/>
                <w:color w:val="auto"/>
                <w:sz w:val="24"/>
                <w:szCs w:val="24"/>
              </w:rPr>
              <w:t xml:space="preserve">审核员：    </w:t>
            </w:r>
            <w:r>
              <w:rPr>
                <w:rFonts w:hint="eastAsia" w:ascii="宋体" w:hAnsi="宋体" w:cs="宋体"/>
                <w:color w:val="auto"/>
                <w:sz w:val="24"/>
                <w:szCs w:val="24"/>
                <w:lang w:val="en-US" w:eastAsia="zh-CN"/>
              </w:rPr>
              <w:t>李京田</w:t>
            </w: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   审核时间：2021.</w:t>
            </w:r>
            <w:r>
              <w:rPr>
                <w:rFonts w:hint="eastAsia" w:ascii="宋体" w:hAnsi="宋体" w:cs="宋体"/>
                <w:color w:val="auto"/>
                <w:sz w:val="24"/>
                <w:szCs w:val="24"/>
                <w:lang w:val="en-US" w:eastAsia="zh-CN"/>
              </w:rPr>
              <w:t>6.25</w:t>
            </w:r>
          </w:p>
        </w:tc>
        <w:tc>
          <w:tcPr>
            <w:tcW w:w="147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110" w:type="dxa"/>
            <w:vAlign w:val="center"/>
          </w:tcPr>
          <w:p>
            <w:pPr>
              <w:snapToGrid w:val="0"/>
              <w:spacing w:line="320" w:lineRule="exact"/>
              <w:ind w:left="180" w:hanging="240" w:hangingChars="100"/>
              <w:jc w:val="left"/>
              <w:rPr>
                <w:color w:val="auto"/>
                <w:sz w:val="24"/>
                <w:szCs w:val="24"/>
              </w:rPr>
            </w:pPr>
            <w:r>
              <w:rPr>
                <w:rFonts w:hint="eastAsia"/>
                <w:color w:val="auto"/>
                <w:sz w:val="24"/>
                <w:szCs w:val="24"/>
              </w:rPr>
              <w:t>审核条款</w:t>
            </w:r>
            <w:r>
              <w:rPr>
                <w:rFonts w:hint="eastAsia" w:ascii="宋体" w:hAnsi="宋体" w:eastAsia="宋体" w:cs="宋体"/>
                <w:color w:val="auto"/>
                <w:sz w:val="24"/>
                <w:szCs w:val="24"/>
              </w:rPr>
              <w:t>：</w:t>
            </w:r>
            <w:r>
              <w:rPr>
                <w:rFonts w:hint="eastAsia" w:asciiTheme="minorEastAsia" w:hAnsiTheme="minorEastAsia" w:eastAsiaTheme="minorEastAsia" w:cstheme="minorEastAsia"/>
                <w:b/>
                <w:bCs/>
                <w:color w:val="auto"/>
                <w:sz w:val="18"/>
                <w:szCs w:val="18"/>
                <w:lang w:val="en-US" w:eastAsia="zh-CN"/>
              </w:rPr>
              <w:t>E\En :</w:t>
            </w:r>
            <w:r>
              <w:rPr>
                <w:rFonts w:hint="eastAsia" w:asciiTheme="minorEastAsia" w:hAnsiTheme="minorEastAsia" w:eastAsiaTheme="minorEastAsia" w:cstheme="minorEastAsia"/>
                <w:b w:val="0"/>
                <w:bCs w:val="0"/>
                <w:color w:val="auto"/>
                <w:sz w:val="18"/>
                <w:szCs w:val="18"/>
                <w:lang w:val="en-US" w:eastAsia="zh-CN"/>
              </w:rPr>
              <w:t xml:space="preserve">5.3/6.2/7.4/8.1/10.1  </w:t>
            </w:r>
            <w:r>
              <w:rPr>
                <w:rFonts w:hint="eastAsia" w:asciiTheme="minorEastAsia" w:hAnsiTheme="minorEastAsia" w:eastAsiaTheme="minorEastAsia" w:cstheme="minorEastAsia"/>
                <w:b/>
                <w:bCs/>
                <w:color w:val="auto"/>
                <w:sz w:val="18"/>
                <w:szCs w:val="18"/>
                <w:lang w:val="en-US" w:eastAsia="zh-CN"/>
              </w:rPr>
              <w:t>E</w:t>
            </w:r>
            <w:r>
              <w:rPr>
                <w:rFonts w:hint="eastAsia" w:asciiTheme="minorEastAsia" w:hAnsiTheme="minorEastAsia" w:eastAsiaTheme="minorEastAsia" w:cstheme="minorEastAsia"/>
                <w:b w:val="0"/>
                <w:bCs w:val="0"/>
                <w:color w:val="auto"/>
                <w:sz w:val="18"/>
                <w:szCs w:val="18"/>
                <w:lang w:val="en-US" w:eastAsia="zh-CN"/>
              </w:rPr>
              <w:t>:6.1.2/6.1.4/8.2/10.2</w:t>
            </w:r>
          </w:p>
        </w:tc>
        <w:tc>
          <w:tcPr>
            <w:tcW w:w="147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2160" w:type="dxa"/>
          </w:tcPr>
          <w:p>
            <w:pPr>
              <w:rPr>
                <w:rFonts w:ascii="宋体" w:cs="宋体"/>
                <w:color w:val="auto"/>
                <w:sz w:val="24"/>
                <w:szCs w:val="24"/>
              </w:rPr>
            </w:pPr>
            <w:r>
              <w:rPr>
                <w:rFonts w:hint="eastAsia" w:ascii="宋体" w:hAnsi="宋体" w:cs="宋体"/>
                <w:color w:val="auto"/>
                <w:sz w:val="24"/>
                <w:szCs w:val="24"/>
              </w:rPr>
              <w:t>组织的岗位、职责和权限</w:t>
            </w:r>
          </w:p>
          <w:p>
            <w:pPr>
              <w:rPr>
                <w:rFonts w:ascii="宋体" w:cs="宋体"/>
                <w:color w:val="auto"/>
                <w:sz w:val="24"/>
                <w:szCs w:val="24"/>
              </w:rPr>
            </w:pPr>
          </w:p>
        </w:tc>
        <w:tc>
          <w:tcPr>
            <w:tcW w:w="960" w:type="dxa"/>
          </w:tcPr>
          <w:p>
            <w:pPr>
              <w:rPr>
                <w:rFonts w:hint="eastAsia" w:asciiTheme="minorEastAsia" w:hAnsiTheme="minorEastAsia" w:eastAsiaTheme="minorEastAsia" w:cstheme="minorEastAsia"/>
                <w:b/>
                <w:bCs/>
                <w:color w:val="auto"/>
                <w:sz w:val="18"/>
                <w:szCs w:val="18"/>
                <w:lang w:val="en-US" w:eastAsia="zh-CN"/>
              </w:rPr>
            </w:pPr>
            <w:r>
              <w:rPr>
                <w:rFonts w:hint="eastAsia" w:asciiTheme="minorEastAsia" w:hAnsiTheme="minorEastAsia" w:eastAsiaTheme="minorEastAsia" w:cstheme="minorEastAsia"/>
                <w:b/>
                <w:bCs/>
                <w:color w:val="auto"/>
                <w:sz w:val="18"/>
                <w:szCs w:val="18"/>
                <w:lang w:val="en-US" w:eastAsia="zh-CN"/>
              </w:rPr>
              <w:t>E\En</w:t>
            </w:r>
          </w:p>
          <w:p>
            <w:pPr>
              <w:rPr>
                <w:rFonts w:hint="eastAsia" w:ascii="宋体" w:hAnsi="宋体" w:cs="宋体"/>
                <w:color w:val="auto"/>
                <w:sz w:val="24"/>
                <w:szCs w:val="24"/>
              </w:rPr>
            </w:pPr>
            <w:r>
              <w:rPr>
                <w:rFonts w:hint="eastAsia" w:ascii="宋体" w:hAnsi="宋体" w:cs="宋体"/>
                <w:color w:val="auto"/>
                <w:sz w:val="24"/>
                <w:szCs w:val="24"/>
              </w:rPr>
              <w:t xml:space="preserve">5.3 </w:t>
            </w:r>
          </w:p>
          <w:p>
            <w:pPr>
              <w:rPr>
                <w:rFonts w:hint="eastAsia" w:ascii="宋体" w:hAnsi="宋体" w:cs="宋体"/>
                <w:color w:val="auto"/>
                <w:sz w:val="24"/>
                <w:szCs w:val="24"/>
              </w:rPr>
            </w:pPr>
          </w:p>
        </w:tc>
        <w:tc>
          <w:tcPr>
            <w:tcW w:w="10110" w:type="dxa"/>
          </w:tcPr>
          <w:p>
            <w:pPr>
              <w:spacing w:line="360" w:lineRule="atLeast"/>
              <w:ind w:left="422" w:leftChars="201" w:right="422" w:rightChars="201" w:firstLine="2"/>
              <w:rPr>
                <w:rFonts w:ascii="宋体"/>
                <w:color w:val="auto"/>
                <w:szCs w:val="21"/>
              </w:rPr>
            </w:pPr>
            <w:r>
              <w:rPr>
                <w:rFonts w:ascii="宋体" w:hAnsi="宋体"/>
                <w:color w:val="auto"/>
                <w:szCs w:val="21"/>
              </w:rPr>
              <w:t xml:space="preserve">1. </w:t>
            </w:r>
            <w:r>
              <w:rPr>
                <w:rFonts w:hint="eastAsia" w:ascii="宋体" w:hAnsi="宋体"/>
                <w:color w:val="auto"/>
                <w:szCs w:val="21"/>
              </w:rPr>
              <w:t>负责本部门所属重要环境因素的管理</w:t>
            </w:r>
          </w:p>
          <w:p>
            <w:pPr>
              <w:spacing w:line="460" w:lineRule="exact"/>
              <w:ind w:left="422" w:leftChars="201" w:right="422" w:rightChars="201" w:firstLine="2"/>
              <w:rPr>
                <w:rFonts w:ascii="宋体"/>
                <w:color w:val="auto"/>
                <w:szCs w:val="21"/>
              </w:rPr>
            </w:pPr>
            <w:r>
              <w:rPr>
                <w:rFonts w:ascii="宋体" w:hAnsi="宋体"/>
                <w:color w:val="auto"/>
                <w:szCs w:val="21"/>
              </w:rPr>
              <w:t xml:space="preserve">2. </w:t>
            </w:r>
            <w:r>
              <w:rPr>
                <w:rFonts w:hint="eastAsia" w:ascii="宋体" w:hAnsi="宋体"/>
                <w:color w:val="auto"/>
                <w:szCs w:val="21"/>
              </w:rPr>
              <w:t>负责建立并实施客户环境要求内部反馈流程并负责了解顾客有关环境方面的期望及将客户的环境要求有效传递至公司内部并实施。</w:t>
            </w:r>
          </w:p>
          <w:p>
            <w:pPr>
              <w:spacing w:line="460" w:lineRule="exact"/>
              <w:ind w:left="422" w:leftChars="201" w:right="422" w:rightChars="201" w:firstLine="2"/>
              <w:rPr>
                <w:rFonts w:ascii="宋体"/>
                <w:color w:val="auto"/>
                <w:szCs w:val="21"/>
              </w:rPr>
            </w:pPr>
            <w:r>
              <w:rPr>
                <w:rFonts w:ascii="宋体" w:hAnsi="宋体"/>
                <w:color w:val="auto"/>
                <w:szCs w:val="21"/>
              </w:rPr>
              <w:t>3</w:t>
            </w:r>
            <w:r>
              <w:rPr>
                <w:rFonts w:ascii="宋体"/>
                <w:color w:val="auto"/>
                <w:szCs w:val="21"/>
              </w:rPr>
              <w:t>.</w:t>
            </w:r>
            <w:r>
              <w:rPr>
                <w:rFonts w:hint="eastAsia" w:ascii="宋体" w:hAnsi="宋体"/>
                <w:color w:val="auto"/>
                <w:szCs w:val="21"/>
              </w:rPr>
              <w:t>负责部门环境因素识别并执行公司环境管理方案</w:t>
            </w:r>
          </w:p>
          <w:p>
            <w:pPr>
              <w:spacing w:line="460" w:lineRule="exact"/>
              <w:ind w:left="422" w:leftChars="201" w:right="422" w:rightChars="201" w:firstLine="2"/>
              <w:rPr>
                <w:rFonts w:ascii="宋体" w:hAnsi="宋体"/>
                <w:color w:val="auto"/>
                <w:szCs w:val="21"/>
              </w:rPr>
            </w:pPr>
            <w:r>
              <w:rPr>
                <w:rFonts w:hint="eastAsia" w:ascii="宋体" w:hAnsi="宋体"/>
                <w:color w:val="auto"/>
                <w:szCs w:val="21"/>
              </w:rPr>
              <w:t>4</w:t>
            </w:r>
            <w:r>
              <w:rPr>
                <w:rFonts w:ascii="宋体" w:hAnsi="宋体"/>
                <w:color w:val="auto"/>
                <w:szCs w:val="21"/>
              </w:rPr>
              <w:t xml:space="preserve">. </w:t>
            </w:r>
            <w:r>
              <w:rPr>
                <w:rFonts w:hint="eastAsia" w:ascii="宋体" w:hAnsi="宋体"/>
                <w:color w:val="auto"/>
                <w:szCs w:val="21"/>
              </w:rPr>
              <w:t>负责实施对合格供应商的环境影响和监督检查</w:t>
            </w:r>
          </w:p>
          <w:p>
            <w:pPr>
              <w:rPr>
                <w:rFonts w:hint="eastAsia" w:ascii="宋体" w:hAnsi="宋体" w:cs="宋体"/>
                <w:color w:val="auto"/>
                <w:sz w:val="24"/>
                <w:szCs w:val="24"/>
              </w:rPr>
            </w:pPr>
          </w:p>
        </w:tc>
        <w:tc>
          <w:tcPr>
            <w:tcW w:w="1479" w:type="dxa"/>
          </w:tcPr>
          <w:p>
            <w:pP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Times New Roman"/>
                <w:color w:val="auto"/>
                <w:kern w:val="2"/>
                <w:sz w:val="21"/>
                <w:szCs w:val="21"/>
                <w:lang w:val="en-US" w:eastAsia="zh-CN" w:bidi="ar-SA"/>
              </w:rPr>
            </w:pPr>
            <w:r>
              <w:rPr>
                <w:rFonts w:hint="eastAsia"/>
                <w:color w:val="auto"/>
                <w:szCs w:val="21"/>
              </w:rPr>
              <w:t>环境因素</w:t>
            </w:r>
          </w:p>
        </w:tc>
        <w:tc>
          <w:tcPr>
            <w:tcW w:w="960" w:type="dxa"/>
            <w:vAlign w:val="center"/>
          </w:tcPr>
          <w:p>
            <w:pPr>
              <w:rPr>
                <w:color w:val="auto"/>
                <w:szCs w:val="21"/>
              </w:rPr>
            </w:pPr>
            <w:r>
              <w:rPr>
                <w:rFonts w:hint="eastAsia"/>
                <w:color w:val="auto"/>
                <w:szCs w:val="21"/>
              </w:rPr>
              <w:t>E6.1.2</w:t>
            </w:r>
          </w:p>
          <w:p>
            <w:pPr>
              <w:rPr>
                <w:rFonts w:hint="eastAsia" w:ascii="Times New Roman" w:hAnsi="Times New Roman" w:eastAsia="宋体" w:cs="Times New Roman"/>
                <w:color w:val="auto"/>
                <w:kern w:val="2"/>
                <w:sz w:val="21"/>
                <w:lang w:val="en-US" w:eastAsia="zh-CN" w:bidi="ar-SA"/>
              </w:rPr>
            </w:pPr>
          </w:p>
        </w:tc>
        <w:tc>
          <w:tcPr>
            <w:tcW w:w="10110" w:type="dxa"/>
            <w:vAlign w:val="center"/>
          </w:tcPr>
          <w:p>
            <w:pPr>
              <w:spacing w:line="394" w:lineRule="exact"/>
              <w:ind w:firstLine="420" w:firstLineChars="200"/>
              <w:rPr>
                <w:color w:val="auto"/>
                <w:szCs w:val="21"/>
              </w:rPr>
            </w:pPr>
            <w:r>
              <w:rPr>
                <w:rFonts w:hint="eastAsia"/>
                <w:color w:val="auto"/>
                <w:szCs w:val="21"/>
              </w:rPr>
              <w:t>编制了</w:t>
            </w:r>
            <w:r>
              <w:rPr>
                <w:color w:val="auto"/>
                <w:szCs w:val="21"/>
              </w:rPr>
              <w:t>《环境因素的识别与评价控制程序》</w:t>
            </w:r>
            <w:r>
              <w:rPr>
                <w:rFonts w:hint="eastAsia"/>
                <w:color w:val="auto"/>
                <w:szCs w:val="21"/>
              </w:rPr>
              <w:t>符合标准要求.</w:t>
            </w:r>
          </w:p>
          <w:p>
            <w:pPr>
              <w:ind w:firstLine="420" w:firstLineChars="200"/>
              <w:rPr>
                <w:color w:val="auto"/>
                <w:szCs w:val="21"/>
              </w:rPr>
            </w:pPr>
            <w:r>
              <w:rPr>
                <w:rFonts w:hint="eastAsia"/>
                <w:color w:val="auto"/>
                <w:szCs w:val="21"/>
              </w:rPr>
              <w:t>提供的“环境因素识别评价表”， 评价考虑了三种时态现在、过去、将来、三种状态、异常、正常、紧急考虑了法律法规，并进行了评价，用打分法考虑了法规符合性、发生频次、影响范围等, 通过定性判断法，共识别出重大环境因素</w:t>
            </w:r>
            <w:r>
              <w:rPr>
                <w:color w:val="auto"/>
                <w:szCs w:val="21"/>
              </w:rPr>
              <w:t>2</w:t>
            </w:r>
            <w:r>
              <w:rPr>
                <w:rFonts w:hint="eastAsia"/>
                <w:color w:val="auto"/>
                <w:szCs w:val="21"/>
              </w:rPr>
              <w:t>项：固废排放、火灾，评价符合程序要求及公司的实际情况。</w:t>
            </w:r>
          </w:p>
          <w:p>
            <w:pPr>
              <w:ind w:firstLine="420" w:firstLineChars="200"/>
              <w:rPr>
                <w:color w:val="auto"/>
                <w:szCs w:val="21"/>
              </w:rPr>
            </w:pPr>
            <w:r>
              <w:rPr>
                <w:rFonts w:hint="eastAsia"/>
                <w:color w:val="auto"/>
                <w:szCs w:val="21"/>
              </w:rPr>
              <w:t>对重要环境因素的控制措施包括制定管理制度、监督检查、应急预案、培训等。提供《重要环境因素识别清单》，其中综合办涉及的重要环境因素：固废排放、意外火灾的发生，评价基本合理。</w:t>
            </w:r>
          </w:p>
          <w:p>
            <w:pPr>
              <w:ind w:firstLine="420" w:firstLineChars="200"/>
              <w:rPr>
                <w:rFonts w:hint="eastAsia" w:ascii="Times New Roman" w:hAnsi="Times New Roman" w:eastAsia="宋体" w:cs="Times New Roman"/>
                <w:bCs/>
                <w:color w:val="auto"/>
                <w:kern w:val="2"/>
                <w:sz w:val="21"/>
                <w:szCs w:val="21"/>
                <w:lang w:val="en-US" w:eastAsia="zh-CN" w:bidi="ar-SA"/>
              </w:rPr>
            </w:pPr>
          </w:p>
        </w:tc>
        <w:tc>
          <w:tcPr>
            <w:tcW w:w="1479" w:type="dxa"/>
          </w:tcPr>
          <w:p>
            <w:pP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措施的策划</w:t>
            </w:r>
          </w:p>
        </w:tc>
        <w:tc>
          <w:tcPr>
            <w:tcW w:w="960" w:type="dxa"/>
            <w:vAlign w:val="center"/>
          </w:tcPr>
          <w:p>
            <w:pP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E6.1.4</w:t>
            </w:r>
          </w:p>
        </w:tc>
        <w:tc>
          <w:tcPr>
            <w:tcW w:w="10110" w:type="dxa"/>
            <w:vAlign w:val="center"/>
          </w:tcPr>
          <w:p>
            <w:pPr>
              <w:spacing w:line="280" w:lineRule="exact"/>
              <w:ind w:firstLine="420" w:firstLineChars="200"/>
              <w:rPr>
                <w:rFonts w:ascii="宋体" w:hAnsi="宋体" w:cs="宋体"/>
                <w:color w:val="auto"/>
                <w:szCs w:val="21"/>
              </w:rPr>
            </w:pPr>
          </w:p>
          <w:p>
            <w:pPr>
              <w:spacing w:line="280" w:lineRule="exact"/>
              <w:ind w:firstLine="420" w:firstLineChars="200"/>
              <w:rPr>
                <w:rFonts w:ascii="宋体" w:hAnsi="宋体" w:cs="宋体"/>
                <w:color w:val="auto"/>
                <w:szCs w:val="21"/>
              </w:rPr>
            </w:pPr>
            <w:r>
              <w:rPr>
                <w:rFonts w:hint="eastAsia" w:ascii="宋体" w:hAnsi="宋体" w:cs="宋体"/>
                <w:color w:val="auto"/>
                <w:szCs w:val="21"/>
              </w:rPr>
              <w:t>1.外部因素主要有：a)社会和文化、政治、法律、监管、金融、技术、经济、自然环境和竞争环境；b)影响公司管理目标的主要驱动和趋势；c)与外部利益相关者的价值观的关系。如国家政策、标准、法律法规及其他要求的变动等；</w:t>
            </w:r>
          </w:p>
          <w:p>
            <w:pPr>
              <w:spacing w:line="280" w:lineRule="exact"/>
              <w:ind w:firstLine="420" w:firstLineChars="200"/>
              <w:rPr>
                <w:rFonts w:ascii="宋体" w:hAnsi="宋体" w:cs="宋体"/>
                <w:color w:val="auto"/>
                <w:szCs w:val="21"/>
              </w:rPr>
            </w:pPr>
            <w:r>
              <w:rPr>
                <w:rFonts w:hint="eastAsia" w:ascii="宋体" w:hAnsi="宋体" w:cs="宋体"/>
                <w:color w:val="auto"/>
                <w:szCs w:val="21"/>
              </w:rPr>
              <w:t>2.内部因素包括：a)组织机构，角色和责任；b)政策、目标、实现目标的战略；c)能力、资源和知识（资本、时间、人、能力、流程、系统和技术等）；d)内部利益相关者的价值观与组织文化之间的关系；e)信息系统、信息流和决策流程；f)合同关系的形成和范围。</w:t>
            </w:r>
          </w:p>
          <w:p>
            <w:pPr>
              <w:spacing w:line="280" w:lineRule="exact"/>
              <w:ind w:firstLine="420" w:firstLineChars="200"/>
              <w:rPr>
                <w:rFonts w:ascii="宋体" w:hAnsi="宋体" w:cs="宋体"/>
                <w:color w:val="auto"/>
                <w:szCs w:val="21"/>
              </w:rPr>
            </w:pPr>
            <w:r>
              <w:rPr>
                <w:rFonts w:hint="eastAsia" w:ascii="宋体" w:hAnsi="宋体" w:cs="宋体"/>
                <w:color w:val="auto"/>
                <w:szCs w:val="21"/>
              </w:rPr>
              <w:t>3.在策划管理体系时考虑了风险和机遇以及相应的应对措施，制定了《风险和机遇的应对控制程序》，明确风险和机遇事件的识别方法/途径、风险和机遇事件的评估方式、制定主要风险和机遇事件的应对措施的要求、评价这些措施有效性的方法。将需要应对的风险和机遇进行风险分析确定风险级别（一般风险、高风险），在管理体系所确定的过程（客户开发、供应商的要求等）中，整合制定针对性管理措施（如程序控制等）。提供了“经营环境分析及对策”，已认真交流风险如战略失误、环保及人力资源成本上升、竞争不断加剧等，主要措施确定战略应更加科学严谨；通过提高管理水平消化人力资源成本上升；加强采购、生产、研发控制；执行国家环保要求；通过差异化策略提高竞争力。效果待观察。机遇主要是现在社会需求不断增多。</w:t>
            </w:r>
          </w:p>
          <w:p>
            <w:pPr>
              <w:pStyle w:val="9"/>
              <w:rPr>
                <w:rFonts w:hint="eastAsia" w:ascii="Times New Roman" w:hAnsi="Times New Roman" w:eastAsia="宋体" w:cs="Times New Roman"/>
                <w:bCs/>
                <w:color w:val="auto"/>
                <w:spacing w:val="10"/>
                <w:kern w:val="2"/>
                <w:sz w:val="21"/>
                <w:lang w:val="en-US" w:eastAsia="zh-CN" w:bidi="ar-SA"/>
              </w:rPr>
            </w:pPr>
          </w:p>
        </w:tc>
        <w:tc>
          <w:tcPr>
            <w:tcW w:w="1479" w:type="dxa"/>
          </w:tcPr>
          <w:p>
            <w:pP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cs="宋体"/>
                <w:color w:val="auto"/>
                <w:sz w:val="24"/>
                <w:szCs w:val="24"/>
              </w:rPr>
            </w:pPr>
            <w:r>
              <w:rPr>
                <w:rFonts w:hint="eastAsia" w:ascii="宋体" w:hAnsi="宋体" w:cs="宋体"/>
                <w:color w:val="auto"/>
                <w:sz w:val="24"/>
                <w:szCs w:val="24"/>
              </w:rPr>
              <w:t>目标，能源指标及其实现的策划</w:t>
            </w:r>
          </w:p>
          <w:p>
            <w:pPr>
              <w:rPr>
                <w:rFonts w:ascii="宋体" w:cs="宋体"/>
                <w:color w:val="auto"/>
                <w:sz w:val="24"/>
                <w:szCs w:val="24"/>
              </w:rPr>
            </w:pPr>
            <w:r>
              <w:rPr>
                <w:rFonts w:ascii="宋体" w:hAnsi="宋体" w:cs="宋体"/>
                <w:color w:val="auto"/>
                <w:sz w:val="24"/>
                <w:szCs w:val="24"/>
              </w:rPr>
              <w:t xml:space="preserve"> </w:t>
            </w:r>
          </w:p>
        </w:tc>
        <w:tc>
          <w:tcPr>
            <w:tcW w:w="960" w:type="dxa"/>
          </w:tcPr>
          <w:p>
            <w:pPr>
              <w:rPr>
                <w:rFonts w:hint="eastAsia" w:asciiTheme="minorEastAsia" w:hAnsiTheme="minorEastAsia" w:eastAsiaTheme="minorEastAsia" w:cstheme="minorEastAsia"/>
                <w:b/>
                <w:bCs/>
                <w:color w:val="auto"/>
                <w:sz w:val="18"/>
                <w:szCs w:val="18"/>
                <w:lang w:val="en-US" w:eastAsia="zh-CN"/>
              </w:rPr>
            </w:pPr>
            <w:r>
              <w:rPr>
                <w:rFonts w:hint="eastAsia" w:asciiTheme="minorEastAsia" w:hAnsiTheme="minorEastAsia" w:eastAsiaTheme="minorEastAsia" w:cstheme="minorEastAsia"/>
                <w:b/>
                <w:bCs/>
                <w:color w:val="auto"/>
                <w:sz w:val="18"/>
                <w:szCs w:val="18"/>
                <w:lang w:val="en-US" w:eastAsia="zh-CN"/>
              </w:rPr>
              <w:t>E\En</w:t>
            </w:r>
          </w:p>
          <w:p>
            <w:pPr>
              <w:rPr>
                <w:rFonts w:hint="eastAsia" w:ascii="宋体" w:hAnsi="宋体" w:cs="宋体"/>
                <w:color w:val="auto"/>
                <w:sz w:val="24"/>
                <w:szCs w:val="24"/>
              </w:rPr>
            </w:pPr>
            <w:r>
              <w:rPr>
                <w:rFonts w:hint="eastAsia" w:ascii="宋体" w:hAnsi="宋体" w:cs="宋体"/>
                <w:color w:val="auto"/>
                <w:sz w:val="24"/>
                <w:szCs w:val="24"/>
              </w:rPr>
              <w:t xml:space="preserve">6.2 </w:t>
            </w:r>
          </w:p>
          <w:p>
            <w:pPr>
              <w:rPr>
                <w:rFonts w:hint="eastAsia" w:ascii="宋体" w:hAnsi="宋体" w:cs="宋体"/>
                <w:color w:val="auto"/>
                <w:sz w:val="24"/>
                <w:szCs w:val="24"/>
              </w:rPr>
            </w:pPr>
            <w:r>
              <w:rPr>
                <w:rFonts w:hint="eastAsia" w:ascii="宋体" w:hAnsi="宋体" w:cs="宋体"/>
                <w:color w:val="auto"/>
                <w:sz w:val="24"/>
                <w:szCs w:val="24"/>
              </w:rPr>
              <w:t xml:space="preserve"> </w:t>
            </w:r>
          </w:p>
        </w:tc>
        <w:tc>
          <w:tcPr>
            <w:tcW w:w="10110" w:type="dxa"/>
          </w:tcPr>
          <w:p>
            <w:pPr>
              <w:ind w:firstLine="420" w:firstLineChars="200"/>
              <w:rPr>
                <w:rFonts w:ascii="宋体" w:hAnsi="宋体" w:cs="宋体"/>
                <w:color w:val="auto"/>
                <w:szCs w:val="21"/>
              </w:rPr>
            </w:pPr>
            <w:r>
              <w:rPr>
                <w:rFonts w:hint="eastAsia" w:ascii="宋体" w:hAnsi="宋体" w:cs="宋体"/>
                <w:color w:val="auto"/>
                <w:szCs w:val="21"/>
              </w:rPr>
              <w:t>执行《管理手册》及《方针目标管理制度》</w:t>
            </w:r>
          </w:p>
          <w:p>
            <w:pPr>
              <w:ind w:firstLine="420" w:firstLineChars="200"/>
              <w:rPr>
                <w:rFonts w:ascii="宋体" w:hAnsi="宋体" w:cs="宋体"/>
                <w:color w:val="auto"/>
                <w:szCs w:val="21"/>
              </w:rPr>
            </w:pPr>
            <w:r>
              <w:rPr>
                <w:rFonts w:hint="eastAsia" w:ascii="宋体" w:hAnsi="宋体" w:cs="宋体"/>
                <w:color w:val="auto"/>
                <w:szCs w:val="21"/>
              </w:rPr>
              <w:t>部门目标：                         考核情况</w:t>
            </w:r>
          </w:p>
          <w:p>
            <w:pPr>
              <w:ind w:firstLine="420" w:firstLineChars="200"/>
              <w:rPr>
                <w:rFonts w:hint="eastAsia" w:ascii="宋体" w:hAnsi="宋体" w:cs="宋体"/>
                <w:color w:val="auto"/>
                <w:szCs w:val="21"/>
              </w:rPr>
            </w:pPr>
            <w:r>
              <w:rPr>
                <w:rFonts w:hint="eastAsia" w:ascii="宋体" w:hAnsi="宋体" w:cs="宋体"/>
                <w:color w:val="auto"/>
                <w:szCs w:val="21"/>
              </w:rPr>
              <w:t>固体废弃物分类处理率100%；            100%</w:t>
            </w:r>
          </w:p>
          <w:p>
            <w:pPr>
              <w:ind w:firstLine="420" w:firstLineChars="200"/>
              <w:rPr>
                <w:rFonts w:hint="eastAsia" w:ascii="宋体" w:hAnsi="宋体" w:cs="宋体"/>
                <w:color w:val="auto"/>
                <w:szCs w:val="21"/>
              </w:rPr>
            </w:pPr>
            <w:r>
              <w:rPr>
                <w:rFonts w:hint="eastAsia" w:ascii="宋体" w:hAnsi="宋体" w:cs="宋体"/>
                <w:color w:val="auto"/>
                <w:szCs w:val="21"/>
              </w:rPr>
              <w:t xml:space="preserve">火灾事故为0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0</w:t>
            </w:r>
          </w:p>
          <w:p>
            <w:pPr>
              <w:ind w:firstLine="420" w:firstLineChars="200"/>
              <w:rPr>
                <w:color w:val="auto"/>
              </w:rPr>
            </w:pPr>
            <w:r>
              <w:rPr>
                <w:rFonts w:hint="eastAsia" w:ascii="宋体" w:hAnsi="宋体" w:cs="宋体"/>
                <w:color w:val="auto"/>
                <w:szCs w:val="21"/>
              </w:rPr>
              <w:t xml:space="preserve">环境污染事故为0         </w:t>
            </w:r>
            <w:r>
              <w:rPr>
                <w:color w:val="auto"/>
                <w:spacing w:val="0"/>
                <w:sz w:val="24"/>
                <w:szCs w:val="22"/>
              </w:rPr>
              <w:t xml:space="preserve">           </w:t>
            </w:r>
            <w:r>
              <w:rPr>
                <w:rFonts w:hint="eastAsia"/>
                <w:color w:val="auto"/>
                <w:spacing w:val="0"/>
                <w:sz w:val="24"/>
                <w:szCs w:val="22"/>
              </w:rPr>
              <w:t>0</w:t>
            </w:r>
          </w:p>
          <w:p>
            <w:pPr>
              <w:ind w:firstLine="420" w:firstLineChars="200"/>
              <w:rPr>
                <w:color w:val="auto"/>
                <w:szCs w:val="21"/>
              </w:rPr>
            </w:pPr>
            <w:r>
              <w:rPr>
                <w:rFonts w:hint="eastAsia"/>
                <w:color w:val="auto"/>
                <w:szCs w:val="21"/>
                <w:lang w:val="en-US" w:eastAsia="zh-CN"/>
              </w:rPr>
              <w:t>查目标完成情况统计表，2020年目标完成，提供2021年1-5月环境目标均完成。</w:t>
            </w:r>
          </w:p>
          <w:p>
            <w:pPr>
              <w:ind w:firstLine="420" w:firstLineChars="200"/>
              <w:rPr>
                <w:color w:val="auto"/>
                <w:szCs w:val="21"/>
              </w:rPr>
            </w:pPr>
            <w:r>
              <w:rPr>
                <w:rFonts w:hint="eastAsia"/>
                <w:color w:val="auto"/>
                <w:szCs w:val="21"/>
              </w:rPr>
              <w:t>对以上的目标指标制定了管理方案：</w:t>
            </w:r>
          </w:p>
          <w:p>
            <w:pPr>
              <w:ind w:left="210" w:leftChars="100" w:firstLine="210" w:firstLineChars="100"/>
              <w:rPr>
                <w:rFonts w:ascii="宋体" w:hAnsi="宋体" w:cs="宋体"/>
                <w:color w:val="auto"/>
                <w:szCs w:val="21"/>
              </w:rPr>
            </w:pPr>
            <w:r>
              <w:rPr>
                <w:rFonts w:hint="eastAsia" w:ascii="宋体" w:hAnsi="宋体" w:cs="宋体"/>
                <w:color w:val="auto"/>
                <w:szCs w:val="21"/>
              </w:rPr>
              <w:t>环境管理方案，查管理方案表，共2项： 1、办公用硒鼓、墨盒等固废；办公废弃物等分类收集保管，交由相应部门处置；</w:t>
            </w:r>
          </w:p>
          <w:p>
            <w:pPr>
              <w:ind w:firstLine="420" w:firstLineChars="200"/>
              <w:rPr>
                <w:color w:val="auto"/>
                <w:szCs w:val="21"/>
              </w:rPr>
            </w:pPr>
            <w:r>
              <w:rPr>
                <w:rFonts w:hint="eastAsia" w:ascii="宋体" w:hAnsi="宋体" w:cs="宋体"/>
                <w:color w:val="auto"/>
                <w:szCs w:val="21"/>
              </w:rPr>
              <w:t>2、杜绝火灾发生，制定了管理方案:</w:t>
            </w:r>
            <w:r>
              <w:rPr>
                <w:rFonts w:hint="eastAsia"/>
                <w:color w:val="auto"/>
              </w:rPr>
              <w:t xml:space="preserve"> </w:t>
            </w:r>
            <w:r>
              <w:rPr>
                <w:rFonts w:hint="eastAsia" w:ascii="宋体" w:hAnsi="宋体" w:cs="宋体"/>
                <w:color w:val="auto"/>
                <w:szCs w:val="21"/>
              </w:rPr>
              <w:t>制定3项管理方案：.制定相应的管理制度并严格执行，配备必要的防火设施（包括灭火器</w:t>
            </w:r>
            <w:r>
              <w:rPr>
                <w:rFonts w:ascii="宋体" w:hAnsi="宋体" w:cs="宋体"/>
                <w:color w:val="auto"/>
                <w:szCs w:val="21"/>
              </w:rPr>
              <w:t>a</w:t>
            </w:r>
            <w:r>
              <w:rPr>
                <w:rFonts w:hint="eastAsia" w:ascii="宋体" w:hAnsi="宋体" w:cs="宋体"/>
                <w:color w:val="auto"/>
                <w:szCs w:val="21"/>
              </w:rPr>
              <w:t>、消防栓等）</w:t>
            </w:r>
            <w:r>
              <w:rPr>
                <w:rFonts w:hint="eastAsia"/>
                <w:color w:val="auto"/>
                <w:szCs w:val="21"/>
              </w:rPr>
              <w:t>并保证其完好</w:t>
            </w:r>
          </w:p>
          <w:p>
            <w:pPr>
              <w:ind w:firstLine="420" w:firstLineChars="200"/>
              <w:rPr>
                <w:color w:val="auto"/>
                <w:szCs w:val="21"/>
              </w:rPr>
            </w:pPr>
            <w:r>
              <w:rPr>
                <w:rFonts w:hint="eastAsia"/>
                <w:color w:val="auto"/>
                <w:szCs w:val="21"/>
              </w:rPr>
              <w:t>b. 成立应急响应工作小组（见《应急预案》）</w:t>
            </w:r>
          </w:p>
          <w:p>
            <w:pPr>
              <w:ind w:firstLine="420" w:firstLineChars="200"/>
              <w:rPr>
                <w:color w:val="auto"/>
                <w:szCs w:val="21"/>
              </w:rPr>
            </w:pPr>
            <w:r>
              <w:rPr>
                <w:rFonts w:hint="eastAsia"/>
                <w:color w:val="auto"/>
                <w:szCs w:val="21"/>
              </w:rPr>
              <w:t>c. 淘汰过期、报废设备,对灭火器更新；每年进行一次消防演习。执行部门：各部门，检查人：</w:t>
            </w:r>
            <w:r>
              <w:rPr>
                <w:rFonts w:hint="eastAsia"/>
                <w:color w:val="auto"/>
                <w:lang w:eastAsia="zh-CN"/>
              </w:rPr>
              <w:t>李桂香</w:t>
            </w:r>
            <w:r>
              <w:rPr>
                <w:rFonts w:hint="eastAsia"/>
                <w:color w:val="auto"/>
                <w:sz w:val="24"/>
                <w:szCs w:val="22"/>
              </w:rPr>
              <w:t xml:space="preserve"> </w:t>
            </w:r>
            <w:r>
              <w:rPr>
                <w:rFonts w:hint="eastAsia"/>
                <w:color w:val="auto"/>
                <w:szCs w:val="21"/>
              </w:rPr>
              <w:t>，资金投入800</w:t>
            </w:r>
            <w:r>
              <w:rPr>
                <w:rFonts w:hint="eastAsia"/>
                <w:color w:val="auto"/>
                <w:szCs w:val="21"/>
                <w:lang w:val="en-US" w:eastAsia="zh-CN"/>
              </w:rPr>
              <w:t>0</w:t>
            </w:r>
            <w:r>
              <w:rPr>
                <w:rFonts w:hint="eastAsia"/>
                <w:color w:val="auto"/>
                <w:szCs w:val="21"/>
              </w:rPr>
              <w:t>元，执行日期：</w:t>
            </w:r>
            <w:r>
              <w:rPr>
                <w:rFonts w:hint="eastAsia"/>
                <w:color w:val="auto"/>
                <w:szCs w:val="21"/>
                <w:lang w:val="en-US" w:eastAsia="zh-CN"/>
              </w:rPr>
              <w:t>长期</w:t>
            </w:r>
          </w:p>
          <w:p>
            <w:pPr>
              <w:rPr>
                <w:rFonts w:hint="eastAsia" w:ascii="宋体" w:hAnsi="宋体" w:cs="宋体"/>
                <w:color w:val="auto"/>
                <w:sz w:val="24"/>
                <w:szCs w:val="24"/>
              </w:rPr>
            </w:pPr>
            <w:r>
              <w:rPr>
                <w:rFonts w:hint="eastAsia"/>
                <w:color w:val="auto"/>
                <w:szCs w:val="21"/>
              </w:rPr>
              <w:t>制定的指标和管理方案基本可行。</w:t>
            </w:r>
          </w:p>
          <w:p>
            <w:pPr>
              <w:rPr>
                <w:rFonts w:hint="eastAsia" w:ascii="宋体" w:hAnsi="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查该公司：</w:t>
            </w:r>
            <w:r>
              <w:rPr>
                <w:rFonts w:hint="eastAsia"/>
                <w:color w:val="auto"/>
                <w:lang w:val="en-US" w:eastAsia="zh-CN"/>
              </w:rPr>
              <w:t>“2020年节能10万吨标煤以上”</w:t>
            </w:r>
            <w:r>
              <w:rPr>
                <w:rFonts w:hint="eastAsia" w:asciiTheme="majorEastAsia" w:hAnsiTheme="majorEastAsia" w:eastAsiaTheme="majorEastAsia" w:cstheme="majorEastAsia"/>
                <w:color w:val="auto"/>
                <w:sz w:val="24"/>
                <w:szCs w:val="24"/>
                <w:lang w:val="en-US" w:eastAsia="zh-CN"/>
              </w:rPr>
              <w:t>已完成</w:t>
            </w:r>
          </w:p>
          <w:p>
            <w:pPr>
              <w:pStyle w:val="2"/>
              <w:rPr>
                <w:rFonts w:hint="default"/>
                <w:color w:val="auto"/>
                <w:lang w:val="en-US" w:eastAsia="zh-CN"/>
              </w:rPr>
            </w:pPr>
            <w:r>
              <w:rPr>
                <w:rFonts w:hint="eastAsia"/>
                <w:color w:val="auto"/>
                <w:lang w:val="en-US" w:eastAsia="zh-CN"/>
              </w:rPr>
              <w:t>查：</w:t>
            </w:r>
            <w:r>
              <w:rPr>
                <w:rFonts w:hint="default"/>
                <w:color w:val="auto"/>
                <w:lang w:val="en-US" w:eastAsia="zh-CN"/>
              </w:rPr>
              <w:t>2021年和2020年目标一样、查2021年至今目标</w:t>
            </w:r>
            <w:r>
              <w:rPr>
                <w:rFonts w:hint="eastAsia"/>
                <w:color w:val="auto"/>
                <w:lang w:val="en-US" w:eastAsia="zh-CN"/>
              </w:rPr>
              <w:t>完成</w:t>
            </w:r>
            <w:r>
              <w:rPr>
                <w:rFonts w:hint="default"/>
                <w:color w:val="auto"/>
                <w:lang w:val="en-US" w:eastAsia="zh-CN"/>
              </w:rPr>
              <w:t>情况符合规定</w:t>
            </w:r>
          </w:p>
          <w:p>
            <w:pPr>
              <w:rPr>
                <w:rFonts w:hint="eastAsia" w:ascii="宋体" w:hAnsi="宋体" w:cs="宋体"/>
                <w:color w:val="auto"/>
                <w:sz w:val="24"/>
                <w:szCs w:val="24"/>
              </w:rPr>
            </w:pPr>
          </w:p>
        </w:tc>
        <w:tc>
          <w:tcPr>
            <w:tcW w:w="1479" w:type="dxa"/>
          </w:tcPr>
          <w:p>
            <w:pP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60" w:type="dxa"/>
          </w:tcPr>
          <w:p>
            <w:pPr>
              <w:rPr>
                <w:rFonts w:ascii="宋体" w:cs="宋体"/>
                <w:color w:val="auto"/>
                <w:sz w:val="24"/>
                <w:szCs w:val="24"/>
              </w:rPr>
            </w:pPr>
            <w:r>
              <w:rPr>
                <w:rFonts w:hint="eastAsia" w:ascii="宋体" w:hAnsi="宋体" w:cs="宋体"/>
                <w:color w:val="auto"/>
                <w:sz w:val="24"/>
                <w:szCs w:val="24"/>
              </w:rPr>
              <w:t>运行策划和控制</w:t>
            </w:r>
          </w:p>
        </w:tc>
        <w:tc>
          <w:tcPr>
            <w:tcW w:w="960" w:type="dxa"/>
          </w:tcPr>
          <w:p>
            <w:pPr>
              <w:rPr>
                <w:rFonts w:hint="eastAsia" w:asciiTheme="minorEastAsia" w:hAnsiTheme="minorEastAsia" w:eastAsiaTheme="minorEastAsia" w:cstheme="minorEastAsia"/>
                <w:b/>
                <w:bCs/>
                <w:color w:val="auto"/>
                <w:sz w:val="18"/>
                <w:szCs w:val="18"/>
                <w:lang w:val="en-US" w:eastAsia="zh-CN"/>
              </w:rPr>
            </w:pPr>
            <w:r>
              <w:rPr>
                <w:rFonts w:hint="eastAsia" w:asciiTheme="minorEastAsia" w:hAnsiTheme="minorEastAsia" w:eastAsiaTheme="minorEastAsia" w:cstheme="minorEastAsia"/>
                <w:b/>
                <w:bCs/>
                <w:color w:val="auto"/>
                <w:sz w:val="18"/>
                <w:szCs w:val="18"/>
                <w:lang w:val="en-US" w:eastAsia="zh-CN"/>
              </w:rPr>
              <w:t>E\En</w:t>
            </w:r>
          </w:p>
          <w:p>
            <w:pPr>
              <w:rPr>
                <w:rFonts w:hint="eastAsia" w:ascii="宋体" w:hAnsi="宋体" w:cs="宋体"/>
                <w:color w:val="auto"/>
                <w:sz w:val="24"/>
                <w:szCs w:val="24"/>
              </w:rPr>
            </w:pPr>
            <w:r>
              <w:rPr>
                <w:rFonts w:hint="eastAsia" w:ascii="宋体" w:hAnsi="宋体" w:cs="宋体"/>
                <w:color w:val="auto"/>
                <w:sz w:val="24"/>
                <w:szCs w:val="24"/>
              </w:rPr>
              <w:t>8.1</w:t>
            </w:r>
          </w:p>
          <w:p>
            <w:pPr>
              <w:rPr>
                <w:rFonts w:hint="eastAsia" w:ascii="宋体" w:hAnsi="宋体" w:cs="宋体"/>
                <w:color w:val="auto"/>
                <w:sz w:val="24"/>
                <w:szCs w:val="24"/>
              </w:rPr>
            </w:pPr>
          </w:p>
        </w:tc>
        <w:tc>
          <w:tcPr>
            <w:tcW w:w="10110" w:type="dxa"/>
          </w:tcPr>
          <w:p>
            <w:pPr>
              <w:ind w:firstLine="420" w:firstLineChars="200"/>
              <w:rPr>
                <w:color w:val="auto"/>
              </w:rPr>
            </w:pPr>
            <w:r>
              <w:rPr>
                <w:rFonts w:hint="eastAsia"/>
                <w:color w:val="auto"/>
              </w:rPr>
              <w:t>本部门应执行的运行控制文件包括：</w:t>
            </w:r>
            <w:r>
              <w:rPr>
                <w:rFonts w:hint="eastAsia"/>
                <w:color w:val="auto"/>
                <w:lang w:val="en-GB"/>
              </w:rPr>
              <w:t>环境管理控制程序、职业健康控制程序、固体废弃物管理</w:t>
            </w:r>
            <w:r>
              <w:rPr>
                <w:rFonts w:hint="eastAsia"/>
                <w:color w:val="auto"/>
              </w:rPr>
              <w:t>规定</w:t>
            </w:r>
            <w:r>
              <w:rPr>
                <w:rFonts w:hint="eastAsia"/>
                <w:color w:val="auto"/>
                <w:lang w:val="en-GB"/>
              </w:rPr>
              <w:t>、</w:t>
            </w:r>
            <w:r>
              <w:rPr>
                <w:rFonts w:hint="eastAsia"/>
                <w:color w:val="auto"/>
              </w:rPr>
              <w:t>对相关方施加影响管理规定、节能降耗管理规定、消防安全管理制度、办公室安全管理制度、</w:t>
            </w:r>
            <w:r>
              <w:rPr>
                <w:rFonts w:hint="eastAsia"/>
                <w:color w:val="auto"/>
                <w:lang w:val="en-GB"/>
              </w:rPr>
              <w:t>车辆管理规定、电脑使用管理办法、服务人员工作规范</w:t>
            </w:r>
            <w:r>
              <w:rPr>
                <w:rFonts w:hint="eastAsia"/>
                <w:color w:val="auto"/>
              </w:rPr>
              <w:t>等</w:t>
            </w:r>
          </w:p>
          <w:p>
            <w:pPr>
              <w:rPr>
                <w:color w:val="auto"/>
              </w:rPr>
            </w:pPr>
            <w:r>
              <w:rPr>
                <w:rFonts w:hint="eastAsia"/>
                <w:color w:val="auto"/>
              </w:rPr>
              <w:t>运行控制情况：</w:t>
            </w:r>
          </w:p>
          <w:p>
            <w:pPr>
              <w:numPr>
                <w:ilvl w:val="0"/>
                <w:numId w:val="1"/>
              </w:numPr>
              <w:rPr>
                <w:color w:val="auto"/>
              </w:rPr>
            </w:pPr>
            <w:r>
              <w:rPr>
                <w:rFonts w:hint="eastAsia"/>
                <w:color w:val="auto"/>
              </w:rPr>
              <w:t>办公室区域：污水：不涉及污水，没有污水排放。</w:t>
            </w:r>
          </w:p>
          <w:p>
            <w:pPr>
              <w:numPr>
                <w:ilvl w:val="0"/>
                <w:numId w:val="1"/>
              </w:numPr>
              <w:rPr>
                <w:color w:val="auto"/>
              </w:rPr>
            </w:pPr>
            <w:r>
              <w:rPr>
                <w:rFonts w:hint="eastAsia"/>
                <w:color w:val="auto"/>
              </w:rPr>
              <w:t>噪声：办公现场不产生明显噪声。</w:t>
            </w:r>
          </w:p>
          <w:p>
            <w:pPr>
              <w:numPr>
                <w:ilvl w:val="0"/>
                <w:numId w:val="1"/>
              </w:numPr>
              <w:rPr>
                <w:color w:val="auto"/>
              </w:rPr>
            </w:pPr>
            <w:r>
              <w:rPr>
                <w:rFonts w:hint="eastAsia"/>
                <w:color w:val="auto"/>
              </w:rPr>
              <w:t>固废：固体废物主要是办公产生废纸张等，配置了纸篓；办公用纸由办公室负责，复印、打印耗材都有办公室统一负责，集中处置。</w:t>
            </w:r>
          </w:p>
          <w:p>
            <w:pPr>
              <w:numPr>
                <w:ilvl w:val="0"/>
                <w:numId w:val="1"/>
              </w:numPr>
              <w:rPr>
                <w:color w:val="auto"/>
              </w:rPr>
            </w:pPr>
            <w:r>
              <w:rPr>
                <w:rFonts w:hint="eastAsia"/>
                <w:color w:val="auto"/>
              </w:rPr>
              <w:t>办公过程注意节约用电，做到人走灯灭，电脑长时间不用时关机，下班前要关闭电源，防止触电。</w:t>
            </w:r>
          </w:p>
          <w:p>
            <w:pPr>
              <w:numPr>
                <w:ilvl w:val="0"/>
                <w:numId w:val="1"/>
              </w:numPr>
              <w:rPr>
                <w:color w:val="auto"/>
              </w:rPr>
            </w:pPr>
            <w:r>
              <w:rPr>
                <w:rFonts w:hint="eastAsia"/>
                <w:color w:val="auto"/>
              </w:rPr>
              <w:t>办公区域:，现场查看办公区域环境整洁、宽敞、办公设备状态良好、</w:t>
            </w:r>
          </w:p>
          <w:p>
            <w:pPr>
              <w:numPr>
                <w:ilvl w:val="0"/>
                <w:numId w:val="1"/>
              </w:numPr>
              <w:rPr>
                <w:color w:val="auto"/>
              </w:rPr>
            </w:pPr>
            <w:r>
              <w:rPr>
                <w:rFonts w:hint="eastAsia"/>
                <w:color w:val="auto"/>
              </w:rPr>
              <w:t>工作时间平均每天不超过8小时。</w:t>
            </w:r>
          </w:p>
          <w:p>
            <w:pPr>
              <w:numPr>
                <w:ilvl w:val="0"/>
                <w:numId w:val="1"/>
              </w:numPr>
              <w:rPr>
                <w:color w:val="auto"/>
              </w:rPr>
            </w:pPr>
            <w:r>
              <w:rPr>
                <w:rFonts w:hint="eastAsia"/>
                <w:color w:val="auto"/>
              </w:rPr>
              <w:t>现场查看办公区域配备符合要求的消防设施。</w:t>
            </w:r>
          </w:p>
          <w:p>
            <w:pPr>
              <w:numPr>
                <w:ilvl w:val="0"/>
                <w:numId w:val="1"/>
              </w:numPr>
              <w:rPr>
                <w:color w:val="auto"/>
              </w:rPr>
            </w:pPr>
            <w:r>
              <w:rPr>
                <w:rFonts w:hint="eastAsia"/>
                <w:color w:val="auto"/>
              </w:rPr>
              <w:t>现场查看办公区域，整洁、光线充足、室内空气良好、配置有空调，办公条件较好，办公设备安全状态良好，教育员工正确使用办公设备，现场用电基本规范，无乱拉线现象，防止火灾发生。</w:t>
            </w:r>
          </w:p>
          <w:p>
            <w:pPr>
              <w:rPr>
                <w:color w:val="auto"/>
              </w:rPr>
            </w:pPr>
            <w:r>
              <w:rPr>
                <w:color w:val="auto"/>
              </w:rPr>
              <w:t>9</w:t>
            </w:r>
            <w:r>
              <w:rPr>
                <w:rFonts w:hint="eastAsia"/>
                <w:color w:val="auto"/>
              </w:rPr>
              <w:t>、相关方施加影响：公司能够控制或能够施加影响的相关方有顾客等。提供了“致相关方的公开信”，将公司的环境/安全控制要求发放到了所有相关方:运输公司\供应商\外来员工等</w:t>
            </w:r>
          </w:p>
          <w:p>
            <w:pPr>
              <w:rPr>
                <w:color w:val="auto"/>
              </w:rPr>
            </w:pPr>
            <w:r>
              <w:rPr>
                <w:color w:val="auto"/>
              </w:rPr>
              <w:t>10</w:t>
            </w:r>
            <w:r>
              <w:rPr>
                <w:rFonts w:hint="eastAsia"/>
                <w:color w:val="auto"/>
              </w:rPr>
              <w:t>、驾驶员要求遵守道路交通安全法规，不违章驾车，驾驶证和车辆定期年审，确保行车安全。</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11、抽查2021年,1-4汽油、水、电主要用能设备采购资金运作情况</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采购水量，水费：2400元；</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default"/>
                <w:color w:val="auto"/>
                <w:lang w:val="en-US" w:eastAsia="zh-CN"/>
              </w:rPr>
            </w:pPr>
            <w:r>
              <w:rPr>
                <w:rFonts w:hint="eastAsia"/>
                <w:color w:val="auto"/>
                <w:lang w:val="en-US" w:eastAsia="zh-CN"/>
              </w:rPr>
              <w:t>采购电量，电费：78059.35元；</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default"/>
                <w:color w:val="auto"/>
                <w:lang w:val="en-US" w:eastAsia="zh-CN"/>
              </w:rPr>
            </w:pPr>
            <w:r>
              <w:rPr>
                <w:rFonts w:hint="eastAsia"/>
                <w:color w:val="auto"/>
                <w:lang w:val="en-US" w:eastAsia="zh-CN"/>
              </w:rPr>
              <w:t>采购柴油，费用32306.23元。</w:t>
            </w:r>
          </w:p>
          <w:p>
            <w:pPr>
              <w:pStyle w:val="9"/>
              <w:rPr>
                <w:rFonts w:hint="eastAsia"/>
                <w:color w:val="auto"/>
                <w:lang w:val="en-US" w:eastAsia="zh-CN"/>
              </w:rPr>
            </w:pPr>
            <w:r>
              <w:rPr>
                <w:rFonts w:hint="eastAsia"/>
                <w:color w:val="auto"/>
                <w:lang w:val="en-US" w:eastAsia="zh-CN"/>
              </w:rPr>
              <w:t xml:space="preserve">抽查采购付费单： </w:t>
            </w:r>
          </w:p>
          <w:p>
            <w:pPr>
              <w:pStyle w:val="9"/>
              <w:rPr>
                <w:rFonts w:hint="eastAsia"/>
                <w:color w:val="auto"/>
                <w:lang w:val="en-US" w:eastAsia="zh-CN"/>
              </w:rPr>
            </w:pPr>
          </w:p>
          <w:p>
            <w:pPr>
              <w:pStyle w:val="9"/>
              <w:rPr>
                <w:rFonts w:hint="eastAsia"/>
                <w:color w:val="auto"/>
                <w:lang w:val="en-US" w:eastAsia="zh-CN"/>
              </w:rPr>
            </w:pPr>
            <w:r>
              <w:drawing>
                <wp:inline distT="0" distB="0" distL="114300" distR="114300">
                  <wp:extent cx="6278880" cy="2546350"/>
                  <wp:effectExtent l="0" t="0" r="762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278880" cy="2546350"/>
                          </a:xfrm>
                          <a:prstGeom prst="rect">
                            <a:avLst/>
                          </a:prstGeom>
                          <a:noFill/>
                          <a:ln>
                            <a:noFill/>
                          </a:ln>
                        </pic:spPr>
                      </pic:pic>
                    </a:graphicData>
                  </a:graphic>
                </wp:inline>
              </w:drawing>
            </w:r>
          </w:p>
          <w:p>
            <w:pPr>
              <w:pStyle w:val="9"/>
              <w:rPr>
                <w:rFonts w:hint="eastAsia"/>
                <w:color w:val="auto"/>
                <w:lang w:val="en-US" w:eastAsia="zh-CN"/>
              </w:rPr>
            </w:pPr>
          </w:p>
          <w:p>
            <w:pPr>
              <w:pStyle w:val="9"/>
              <w:rPr>
                <w:rFonts w:hint="eastAsia"/>
                <w:color w:val="auto"/>
                <w:lang w:val="en-US" w:eastAsia="zh-CN"/>
              </w:rPr>
            </w:pPr>
            <w:r>
              <w:drawing>
                <wp:inline distT="0" distB="0" distL="114300" distR="114300">
                  <wp:extent cx="6282055" cy="2186305"/>
                  <wp:effectExtent l="0" t="0" r="444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6282055" cy="2186305"/>
                          </a:xfrm>
                          <a:prstGeom prst="rect">
                            <a:avLst/>
                          </a:prstGeom>
                          <a:noFill/>
                          <a:ln>
                            <a:noFill/>
                          </a:ln>
                        </pic:spPr>
                      </pic:pic>
                    </a:graphicData>
                  </a:graphic>
                </wp:inline>
              </w:drawing>
            </w:r>
          </w:p>
          <w:p>
            <w:pPr>
              <w:pStyle w:val="9"/>
              <w:rPr>
                <w:rFonts w:hint="eastAsia"/>
                <w:color w:val="auto"/>
                <w:lang w:val="en-US" w:eastAsia="zh-CN"/>
              </w:rPr>
            </w:pPr>
          </w:p>
          <w:p>
            <w:pPr>
              <w:pStyle w:val="9"/>
              <w:rPr>
                <w:rFonts w:hint="eastAsia"/>
                <w:color w:val="auto"/>
                <w:lang w:val="en-US" w:eastAsia="zh-CN"/>
              </w:rPr>
            </w:pPr>
            <w:r>
              <w:drawing>
                <wp:inline distT="0" distB="0" distL="114300" distR="114300">
                  <wp:extent cx="6278245" cy="2449830"/>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6278245" cy="2449830"/>
                          </a:xfrm>
                          <a:prstGeom prst="rect">
                            <a:avLst/>
                          </a:prstGeom>
                          <a:noFill/>
                          <a:ln>
                            <a:noFill/>
                          </a:ln>
                        </pic:spPr>
                      </pic:pic>
                    </a:graphicData>
                  </a:graphic>
                </wp:inline>
              </w:drawing>
            </w:r>
          </w:p>
          <w:p>
            <w:pPr>
              <w:numPr>
                <w:ilvl w:val="0"/>
                <w:numId w:val="0"/>
              </w:numPr>
              <w:ind w:leftChars="0"/>
              <w:rPr>
                <w:rFonts w:hint="eastAsia"/>
                <w:color w:val="auto"/>
                <w:lang w:val="en-US" w:eastAsia="zh-CN"/>
              </w:rPr>
            </w:pPr>
            <w:r>
              <w:rPr>
                <w:rFonts w:hint="eastAsia"/>
                <w:color w:val="auto"/>
                <w:lang w:val="en-US" w:eastAsia="zh-CN"/>
              </w:rPr>
              <w:t>12</w:t>
            </w:r>
            <w:r>
              <w:rPr>
                <w:rFonts w:hint="eastAsia"/>
                <w:color w:val="0000FF"/>
                <w:lang w:val="en-US" w:eastAsia="zh-CN"/>
              </w:rPr>
              <w:t>、</w:t>
            </w:r>
            <w:r>
              <w:rPr>
                <w:rFonts w:hint="eastAsia"/>
                <w:color w:val="auto"/>
                <w:lang w:val="en-US" w:eastAsia="zh-CN"/>
              </w:rPr>
              <w:t>提供2021年1-5月环境资金运行情况，共投入69000元</w:t>
            </w:r>
          </w:p>
          <w:p>
            <w:pPr>
              <w:pStyle w:val="2"/>
              <w:rPr>
                <w:rFonts w:hint="default"/>
                <w:color w:val="auto"/>
                <w:lang w:val="en-US" w:eastAsia="zh-CN"/>
              </w:rPr>
            </w:pPr>
            <w:r>
              <w:rPr>
                <w:rFonts w:hint="default"/>
                <w:color w:val="auto"/>
                <w:lang w:val="en-US" w:eastAsia="zh-CN"/>
              </w:rPr>
              <w:t xml:space="preserve">每季度环保自行检测  清蓝检测3万  </w:t>
            </w:r>
          </w:p>
          <w:p>
            <w:pPr>
              <w:pStyle w:val="2"/>
              <w:rPr>
                <w:rFonts w:hint="default"/>
                <w:color w:val="auto"/>
                <w:lang w:val="en-US" w:eastAsia="zh-CN"/>
              </w:rPr>
            </w:pPr>
            <w:r>
              <w:rPr>
                <w:rFonts w:hint="default"/>
                <w:color w:val="auto"/>
                <w:lang w:val="en-US" w:eastAsia="zh-CN"/>
              </w:rPr>
              <w:t xml:space="preserve"> 地下水监测  清蓝检测9千     </w:t>
            </w:r>
          </w:p>
          <w:p>
            <w:pPr>
              <w:pStyle w:val="2"/>
              <w:rPr>
                <w:rFonts w:hint="default"/>
                <w:color w:val="auto"/>
                <w:lang w:val="en-US" w:eastAsia="zh-CN"/>
              </w:rPr>
            </w:pPr>
            <w:r>
              <w:rPr>
                <w:rFonts w:hint="default"/>
                <w:color w:val="auto"/>
                <w:lang w:val="en-US" w:eastAsia="zh-CN"/>
              </w:rPr>
              <w:t xml:space="preserve">内蒙古航峰检测技术有限公司 地表水 土壤污染  土壤质量检测   合计2.4万  </w:t>
            </w:r>
          </w:p>
          <w:p>
            <w:pPr>
              <w:pStyle w:val="2"/>
              <w:rPr>
                <w:rFonts w:hint="default"/>
                <w:color w:val="auto"/>
                <w:lang w:val="en-US" w:eastAsia="zh-CN"/>
              </w:rPr>
            </w:pPr>
            <w:r>
              <w:rPr>
                <w:rFonts w:hint="default"/>
                <w:color w:val="auto"/>
                <w:lang w:val="en-US" w:eastAsia="zh-CN"/>
              </w:rPr>
              <w:t xml:space="preserve"> 洒水费用6万</w:t>
            </w:r>
          </w:p>
          <w:p>
            <w:pPr>
              <w:pStyle w:val="2"/>
              <w:rPr>
                <w:rFonts w:hint="default"/>
                <w:color w:val="auto"/>
                <w:lang w:val="en-US" w:eastAsia="zh-CN"/>
              </w:rPr>
            </w:pPr>
            <w:r>
              <w:rPr>
                <w:rFonts w:hint="eastAsia"/>
                <w:color w:val="auto"/>
                <w:lang w:val="en-US" w:eastAsia="zh-CN"/>
              </w:rPr>
              <w:t>公司财务资金充足，能满足能源及环保的需求</w:t>
            </w:r>
          </w:p>
        </w:tc>
        <w:tc>
          <w:tcPr>
            <w:tcW w:w="1479" w:type="dxa"/>
          </w:tcPr>
          <w:p>
            <w:pP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2160" w:type="dxa"/>
            <w:vAlign w:val="center"/>
          </w:tcPr>
          <w:p>
            <w:pPr>
              <w:rPr>
                <w:rFonts w:hint="eastAsia" w:ascii="Times New Roman" w:hAnsi="Times New Roman" w:eastAsia="宋体" w:cs="Times New Roman"/>
                <w:color w:val="auto"/>
                <w:kern w:val="2"/>
                <w:sz w:val="21"/>
                <w:lang w:val="en-US" w:eastAsia="zh-CN" w:bidi="ar-SA"/>
              </w:rPr>
            </w:pPr>
            <w:r>
              <w:rPr>
                <w:rFonts w:hint="eastAsia"/>
                <w:color w:val="auto"/>
                <w:szCs w:val="21"/>
              </w:rPr>
              <w:t>应急准备和响应</w:t>
            </w:r>
          </w:p>
        </w:tc>
        <w:tc>
          <w:tcPr>
            <w:tcW w:w="960" w:type="dxa"/>
            <w:vAlign w:val="center"/>
          </w:tcPr>
          <w:p>
            <w:pPr>
              <w:rPr>
                <w:color w:val="auto"/>
                <w:szCs w:val="21"/>
              </w:rPr>
            </w:pPr>
            <w:r>
              <w:rPr>
                <w:rFonts w:hint="eastAsia"/>
                <w:color w:val="auto"/>
                <w:szCs w:val="21"/>
              </w:rPr>
              <w:t>E8.2</w:t>
            </w:r>
          </w:p>
          <w:p>
            <w:pPr>
              <w:rPr>
                <w:rFonts w:hint="eastAsia" w:ascii="Times New Roman" w:hAnsi="Times New Roman" w:eastAsia="宋体" w:cs="Times New Roman"/>
                <w:color w:val="auto"/>
                <w:kern w:val="2"/>
                <w:sz w:val="21"/>
                <w:lang w:val="en-US" w:eastAsia="zh-CN" w:bidi="ar-SA"/>
              </w:rPr>
            </w:pPr>
          </w:p>
        </w:tc>
        <w:tc>
          <w:tcPr>
            <w:tcW w:w="10110" w:type="dxa"/>
            <w:vAlign w:val="center"/>
          </w:tcPr>
          <w:p>
            <w:pPr>
              <w:pStyle w:val="9"/>
              <w:ind w:firstLine="460" w:firstLineChars="200"/>
              <w:rPr>
                <w:rFonts w:hint="default" w:ascii="宋体" w:hAnsi="宋体" w:eastAsia="宋体" w:cs="宋体"/>
                <w:bCs/>
                <w:color w:val="auto"/>
                <w:spacing w:val="10"/>
                <w:kern w:val="2"/>
                <w:sz w:val="21"/>
                <w:szCs w:val="21"/>
                <w:lang w:val="en-US" w:eastAsia="zh-CN" w:bidi="ar-SA"/>
              </w:rPr>
            </w:pPr>
            <w:r>
              <w:rPr>
                <w:rFonts w:hint="eastAsia" w:ascii="宋体" w:hAnsi="宋体" w:cs="宋体"/>
                <w:bCs/>
                <w:color w:val="auto"/>
                <w:spacing w:val="10"/>
                <w:kern w:val="2"/>
                <w:sz w:val="21"/>
                <w:szCs w:val="21"/>
                <w:lang w:val="en-US" w:eastAsia="zh-CN" w:bidi="ar-SA"/>
              </w:rPr>
              <w:t>参加公司统一组织的应急演练，见综合部E8.2审核记录</w:t>
            </w:r>
          </w:p>
        </w:tc>
        <w:tc>
          <w:tcPr>
            <w:tcW w:w="1479" w:type="dxa"/>
          </w:tcPr>
          <w:p>
            <w:pP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2160" w:type="dxa"/>
          </w:tcPr>
          <w:p>
            <w:pPr>
              <w:spacing w:line="240" w:lineRule="atLeast"/>
              <w:rPr>
                <w:rFonts w:ascii="宋体" w:cs="宋体"/>
                <w:color w:val="auto"/>
                <w:sz w:val="24"/>
                <w:szCs w:val="24"/>
              </w:rPr>
            </w:pPr>
            <w:r>
              <w:rPr>
                <w:rFonts w:hint="eastAsia" w:ascii="宋体" w:hAnsi="宋体" w:cs="宋体"/>
                <w:color w:val="auto"/>
                <w:sz w:val="24"/>
                <w:szCs w:val="24"/>
              </w:rPr>
              <w:t>不符合和纠正措施</w:t>
            </w:r>
          </w:p>
        </w:tc>
        <w:tc>
          <w:tcPr>
            <w:tcW w:w="960" w:type="dxa"/>
          </w:tcPr>
          <w:p>
            <w:pPr>
              <w:rPr>
                <w:rFonts w:hint="eastAsia" w:ascii="宋体" w:hAnsi="宋体" w:cs="宋体"/>
                <w:color w:val="auto"/>
                <w:sz w:val="24"/>
                <w:szCs w:val="24"/>
              </w:rPr>
            </w:pPr>
            <w:r>
              <w:rPr>
                <w:rFonts w:hint="eastAsia" w:asciiTheme="minorEastAsia" w:hAnsiTheme="minorEastAsia" w:eastAsiaTheme="minorEastAsia" w:cstheme="minorEastAsia"/>
                <w:b/>
                <w:bCs/>
                <w:color w:val="auto"/>
                <w:sz w:val="18"/>
                <w:szCs w:val="18"/>
                <w:lang w:val="en-US" w:eastAsia="zh-CN"/>
              </w:rPr>
              <w:t xml:space="preserve">E\En </w:t>
            </w:r>
            <w:r>
              <w:rPr>
                <w:rFonts w:hint="eastAsia" w:ascii="宋体" w:hAnsi="宋体" w:cs="宋体"/>
                <w:color w:val="auto"/>
                <w:sz w:val="24"/>
                <w:szCs w:val="24"/>
              </w:rPr>
              <w:t>10.1</w:t>
            </w:r>
          </w:p>
          <w:p>
            <w:pPr>
              <w:pStyle w:val="9"/>
              <w:rPr>
                <w:rFonts w:hint="default" w:eastAsia="宋体"/>
                <w:color w:val="auto"/>
                <w:lang w:val="en-US" w:eastAsia="zh-CN"/>
              </w:rPr>
            </w:pPr>
            <w:r>
              <w:rPr>
                <w:rFonts w:hint="eastAsia" w:ascii="宋体" w:hAnsi="宋体" w:cs="宋体"/>
                <w:color w:val="auto"/>
                <w:sz w:val="24"/>
                <w:szCs w:val="24"/>
                <w:lang w:val="en-US" w:eastAsia="zh-CN"/>
              </w:rPr>
              <w:t>E 10.2</w:t>
            </w:r>
          </w:p>
          <w:p>
            <w:pPr>
              <w:rPr>
                <w:rFonts w:hint="eastAsia" w:ascii="宋体" w:hAnsi="宋体" w:cs="宋体"/>
                <w:color w:val="auto"/>
                <w:sz w:val="24"/>
                <w:szCs w:val="24"/>
              </w:rPr>
            </w:pPr>
          </w:p>
        </w:tc>
        <w:tc>
          <w:tcPr>
            <w:tcW w:w="10110" w:type="dxa"/>
          </w:tcPr>
          <w:p>
            <w:pPr>
              <w:ind w:firstLine="420" w:firstLineChars="200"/>
              <w:rPr>
                <w:rFonts w:hint="default"/>
                <w:color w:val="auto"/>
                <w:lang w:val="en-US" w:eastAsia="zh-CN"/>
              </w:rPr>
            </w:pPr>
            <w:r>
              <w:rPr>
                <w:rFonts w:hint="eastAsia"/>
                <w:color w:val="auto"/>
                <w:lang w:val="en-US" w:eastAsia="zh-CN"/>
              </w:rPr>
              <w:t>编制了《纠正措施和预防措施通知单》包括“不符合采取措施控制并纠正；任何纠正措施的结果、不符合的原因 性质和采取的任何后续措施；确定是否存在或是否可能发生类似的不符合；实施任何所需的措施；评审所采取的任何纠正措施的有效性；必要时，对能源管理体系进行变更改”等内容；</w:t>
            </w:r>
          </w:p>
          <w:p>
            <w:pPr>
              <w:ind w:firstLine="420" w:firstLineChars="200"/>
              <w:rPr>
                <w:rFonts w:hint="eastAsia"/>
                <w:color w:val="auto"/>
                <w:lang w:val="en-US" w:eastAsia="zh-CN"/>
              </w:rPr>
            </w:pPr>
            <w:r>
              <w:rPr>
                <w:rFonts w:hint="eastAsia"/>
                <w:color w:val="auto"/>
                <w:lang w:val="en-US" w:eastAsia="zh-CN"/>
              </w:rPr>
              <w:t>查内审不符合1项、有不符合项内容描述、原因分析、及纠正措施的实施及验证信息；不符合纠正措施验证有效、不符合关闭；</w:t>
            </w:r>
          </w:p>
          <w:p>
            <w:pPr>
              <w:pStyle w:val="9"/>
              <w:rPr>
                <w:rFonts w:hint="eastAsia" w:ascii="宋体" w:hAnsi="宋体" w:cs="宋体"/>
                <w:color w:val="auto"/>
                <w:sz w:val="24"/>
                <w:szCs w:val="24"/>
              </w:rPr>
            </w:pPr>
            <w:bookmarkStart w:id="0" w:name="_GoBack"/>
            <w:bookmarkEnd w:id="0"/>
          </w:p>
          <w:p>
            <w:pPr>
              <w:ind w:firstLine="420" w:firstLineChars="200"/>
              <w:rPr>
                <w:color w:val="auto"/>
              </w:rPr>
            </w:pPr>
            <w:r>
              <w:rPr>
                <w:rFonts w:hint="eastAsia"/>
                <w:color w:val="auto"/>
              </w:rPr>
              <w:t>公司制定《纠正预防措施控制程序》，规定了纠正措施的来源,明确了对不合格项应进行原因分析,制定纠正措施计划,实施跟踪验证,确保所采取 的纠正措施满足预期要求。</w:t>
            </w:r>
          </w:p>
          <w:p>
            <w:pPr>
              <w:ind w:firstLine="420" w:firstLineChars="200"/>
              <w:rPr>
                <w:color w:val="auto"/>
              </w:rPr>
            </w:pPr>
            <w:r>
              <w:rPr>
                <w:rFonts w:hint="eastAsia"/>
                <w:color w:val="auto"/>
              </w:rPr>
              <w:t>内审中发现的不符合项已经采取纠正措施，整改完毕且有效。</w:t>
            </w:r>
          </w:p>
          <w:p>
            <w:pPr>
              <w:ind w:firstLine="420" w:firstLineChars="200"/>
              <w:rPr>
                <w:color w:val="auto"/>
              </w:rPr>
            </w:pPr>
            <w:r>
              <w:rPr>
                <w:rFonts w:hint="eastAsia"/>
                <w:color w:val="auto"/>
              </w:rPr>
              <w:t>通过交谈，基本能清楚纠正和预防措施的控制要求。改进的示例包括纠正、纠正措施、持续改进。</w:t>
            </w:r>
          </w:p>
          <w:p>
            <w:pPr>
              <w:rPr>
                <w:color w:val="auto"/>
              </w:rPr>
            </w:pPr>
            <w:r>
              <w:rPr>
                <w:rFonts w:hint="eastAsia"/>
                <w:color w:val="auto"/>
              </w:rPr>
              <w:t>根据不同过程、不同产品和不同要求，采取不同的方法进行监视、测量和分析。无其他不符合发生。</w:t>
            </w:r>
          </w:p>
          <w:p>
            <w:pPr>
              <w:spacing w:line="280" w:lineRule="exact"/>
              <w:jc w:val="left"/>
              <w:rPr>
                <w:color w:val="auto"/>
              </w:rPr>
            </w:pPr>
            <w:r>
              <w:rPr>
                <w:rFonts w:hint="eastAsia"/>
                <w:color w:val="auto"/>
              </w:rPr>
              <w:t>公司利用</w:t>
            </w:r>
            <w:r>
              <w:rPr>
                <w:rFonts w:hint="eastAsia"/>
                <w:color w:val="auto"/>
                <w:lang w:val="en-US" w:eastAsia="zh-CN"/>
              </w:rPr>
              <w:t>E/En</w:t>
            </w:r>
            <w:r>
              <w:rPr>
                <w:rFonts w:hint="eastAsia"/>
                <w:color w:val="auto"/>
              </w:rPr>
              <w:t>方针、目标、内审和外审、数据分析、纠正和预防措施以及管理评审，识别任何改进的机会，持续改进质量管理体系的适宜性、充分性和有效性。</w:t>
            </w:r>
          </w:p>
          <w:p>
            <w:pPr>
              <w:ind w:firstLine="420" w:firstLineChars="200"/>
              <w:rPr>
                <w:color w:val="auto"/>
              </w:rPr>
            </w:pPr>
            <w:r>
              <w:rPr>
                <w:rFonts w:hint="eastAsia"/>
                <w:color w:val="auto"/>
              </w:rPr>
              <w:t>资质验证  企业提供营业执照,企业资质在范围内(见附件)</w:t>
            </w:r>
          </w:p>
          <w:p>
            <w:pPr>
              <w:ind w:firstLine="420" w:firstLineChars="200"/>
              <w:rPr>
                <w:color w:val="auto"/>
              </w:rPr>
            </w:pPr>
            <w:r>
              <w:rPr>
                <w:rFonts w:hint="eastAsia"/>
                <w:color w:val="auto"/>
              </w:rPr>
              <w:t>投诉或事故:无</w:t>
            </w:r>
          </w:p>
          <w:p>
            <w:pPr>
              <w:spacing w:line="280" w:lineRule="exact"/>
              <w:rPr>
                <w:rFonts w:hint="eastAsia"/>
                <w:color w:val="auto"/>
                <w:lang w:val="en-US" w:eastAsia="zh-CN"/>
              </w:rPr>
            </w:pPr>
            <w:r>
              <w:rPr>
                <w:rFonts w:hint="eastAsia"/>
                <w:color w:val="auto"/>
              </w:rPr>
              <w:t>政府主管部门监督抽查情况:</w:t>
            </w:r>
            <w:r>
              <w:rPr>
                <w:rFonts w:hint="eastAsia"/>
                <w:color w:val="auto"/>
                <w:lang w:val="en-US" w:eastAsia="zh-CN"/>
              </w:rPr>
              <w:t>已经整改完毕，见附件</w:t>
            </w:r>
          </w:p>
          <w:p>
            <w:pPr>
              <w:pStyle w:val="9"/>
              <w:rPr>
                <w:rFonts w:hint="eastAsia" w:ascii="宋体" w:hAnsi="宋体" w:cs="宋体"/>
                <w:color w:val="auto"/>
                <w:sz w:val="24"/>
                <w:szCs w:val="24"/>
              </w:rPr>
            </w:pPr>
          </w:p>
          <w:p>
            <w:pPr>
              <w:rPr>
                <w:rFonts w:hint="eastAsia" w:ascii="宋体" w:hAnsi="宋体" w:cs="宋体"/>
                <w:color w:val="auto"/>
                <w:sz w:val="24"/>
                <w:szCs w:val="24"/>
              </w:rPr>
            </w:pPr>
          </w:p>
        </w:tc>
        <w:tc>
          <w:tcPr>
            <w:tcW w:w="1479" w:type="dxa"/>
          </w:tcPr>
          <w:p>
            <w:pPr>
              <w:rPr>
                <w:rFonts w:hint="eastAsia" w:ascii="宋体" w:hAnsi="宋体" w:cs="宋体"/>
                <w:color w:val="auto"/>
                <w:sz w:val="24"/>
                <w:szCs w:val="24"/>
              </w:rPr>
            </w:pPr>
          </w:p>
        </w:tc>
      </w:tr>
    </w:tbl>
    <w:p>
      <w:pPr>
        <w:rPr>
          <w:color w:val="auto"/>
          <w:sz w:val="24"/>
          <w:szCs w:val="24"/>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A964C8"/>
    <w:multiLevelType w:val="multilevel"/>
    <w:tmpl w:val="6FA964C8"/>
    <w:lvl w:ilvl="0" w:tentative="0">
      <w:start w:val="1"/>
      <w:numFmt w:val="decimal"/>
      <w:lvlText w:val="%1、"/>
      <w:lvlJc w:val="left"/>
      <w:pPr>
        <w:ind w:left="315" w:hanging="31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342DF2"/>
    <w:rsid w:val="11B77752"/>
    <w:rsid w:val="1CA410A6"/>
    <w:rsid w:val="1D816794"/>
    <w:rsid w:val="2BFB62C7"/>
    <w:rsid w:val="2EAA3750"/>
    <w:rsid w:val="33A30F50"/>
    <w:rsid w:val="43211DCD"/>
    <w:rsid w:val="45DA36B8"/>
    <w:rsid w:val="4735485E"/>
    <w:rsid w:val="485063B4"/>
    <w:rsid w:val="4A342DF2"/>
    <w:rsid w:val="5C1356FB"/>
    <w:rsid w:val="5EE206E6"/>
    <w:rsid w:val="5F002BD2"/>
    <w:rsid w:val="655224DC"/>
    <w:rsid w:val="69CA32C7"/>
    <w:rsid w:val="6DFB7D63"/>
    <w:rsid w:val="7A871133"/>
    <w:rsid w:val="7CC7690E"/>
    <w:rsid w:val="7FB97B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semiHidden/>
    <w:unhideWhenUsed/>
    <w:qFormat/>
    <w:uiPriority w:val="99"/>
    <w:pPr>
      <w:autoSpaceDE/>
      <w:autoSpaceDN/>
      <w:spacing w:before="0" w:after="120"/>
      <w:ind w:left="0" w:firstLine="420" w:firstLineChars="100"/>
      <w:jc w:val="both"/>
    </w:pPr>
    <w:rPr>
      <w:rFonts w:ascii="Times New Roman" w:hAnsi="Times New Roman" w:cs="Times New Roman"/>
      <w:kern w:val="2"/>
      <w:sz w:val="21"/>
      <w:szCs w:val="20"/>
      <w:lang w:val="en-US" w:bidi="ar-SA"/>
    </w:rPr>
  </w:style>
  <w:style w:type="paragraph" w:styleId="3">
    <w:name w:val="Body Text"/>
    <w:basedOn w:val="1"/>
    <w:qFormat/>
    <w:uiPriority w:val="99"/>
    <w:rPr>
      <w:sz w:val="24"/>
    </w:rPr>
  </w:style>
  <w:style w:type="paragraph" w:styleId="4">
    <w:name w:val="Body Text Indent"/>
    <w:basedOn w:val="1"/>
    <w:next w:val="5"/>
    <w:unhideWhenUsed/>
    <w:qFormat/>
    <w:uiPriority w:val="0"/>
    <w:pPr>
      <w:spacing w:beforeLines="0" w:after="120" w:afterLines="0"/>
      <w:ind w:left="200" w:leftChars="200"/>
    </w:pPr>
    <w:rPr>
      <w:rFonts w:hint="default"/>
      <w:sz w:val="24"/>
    </w:rPr>
  </w:style>
  <w:style w:type="paragraph" w:styleId="5">
    <w:name w:val="toc 3"/>
    <w:basedOn w:val="1"/>
    <w:next w:val="1"/>
    <w:unhideWhenUsed/>
    <w:qFormat/>
    <w:uiPriority w:val="0"/>
    <w:pPr>
      <w:spacing w:beforeLines="0" w:afterLines="0"/>
      <w:ind w:left="400" w:leftChars="400"/>
    </w:pPr>
    <w:rPr>
      <w:rFonts w:hint="default"/>
      <w:sz w:val="21"/>
    </w:rPr>
  </w:style>
  <w:style w:type="paragraph" w:styleId="6">
    <w:name w:val="Body Text First Indent 2"/>
    <w:basedOn w:val="4"/>
    <w:next w:val="1"/>
    <w:unhideWhenUsed/>
    <w:qFormat/>
    <w:uiPriority w:val="0"/>
    <w:pPr>
      <w:autoSpaceDE w:val="0"/>
      <w:autoSpaceDN w:val="0"/>
      <w:adjustRightInd w:val="0"/>
      <w:spacing w:beforeLines="0" w:after="0" w:afterLines="0" w:line="360" w:lineRule="auto"/>
      <w:ind w:left="0" w:firstLine="420" w:firstLineChars="200"/>
      <w:jc w:val="left"/>
    </w:pPr>
    <w:rPr>
      <w:rFonts w:hint="default"/>
      <w:kern w:val="0"/>
      <w:sz w:val="24"/>
    </w:rPr>
  </w:style>
  <w:style w:type="paragraph" w:customStyle="1" w:styleId="9">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2021-05-09T22:16:00Z</dcterms:created>
  <dc:creator>叶子</dc:creator>
  <cp:lastModifiedBy>叶子</cp:lastModifiedBy>
  <dcterms:modified xsi:type="dcterms:W3CDTF">2021-06-25T00:28:18Z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FB58DD3A543F4265B741A3CFFE84564D</vt:lpwstr>
  </property>
</Properties>
</file>