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宜昌市宝业建筑工业化有限公司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PC事业部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未能提供游标卡尺、卷尺实施检定/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校准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的相关证据。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2853055</wp:posOffset>
                  </wp:positionH>
                  <wp:positionV relativeFrom="paragraph">
                    <wp:posOffset>48895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112395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3684905</wp:posOffset>
                  </wp:positionH>
                  <wp:positionV relativeFrom="paragraph">
                    <wp:posOffset>314325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未能提供游标卡尺、卷尺实施检定/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校准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的相关证据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游标卡尺、卷尺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送检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员工对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理解不透彻，工作疏忽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提供游标卡尺、卷尺实施检定/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校准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组织员工自查自纠，举一反三，防止类似情况发生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纠正有效</w:t>
            </w: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3A1237"/>
    <w:rsid w:val="75DB5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2021-08-07T01:52:16Z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D27786C7FC014F8C8C097CE7C1516059</vt:lpwstr>
  </property>
</Properties>
</file>