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114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r>
              <w:rPr>
                <w:rFonts w:hint="eastAsia" w:ascii="宋体" w:hAnsi="宋体" w:eastAsia="宋体" w:cs="Times New Roman"/>
                <w:sz w:val="24"/>
                <w:szCs w:val="22"/>
                <w:lang w:val="en-US" w:eastAsia="zh-CN"/>
              </w:rPr>
              <w:t>欧阳贻莲</w:t>
            </w:r>
            <w:r>
              <w:rPr>
                <w:rFonts w:hint="eastAsia"/>
                <w:sz w:val="24"/>
                <w:szCs w:val="24"/>
                <w:lang w:val="en-US" w:eastAsia="zh-CN"/>
              </w:rPr>
              <w:t xml:space="preserve">     </w:t>
            </w:r>
            <w:r>
              <w:rPr>
                <w:rFonts w:hint="eastAsia"/>
                <w:sz w:val="24"/>
                <w:szCs w:val="24"/>
              </w:rPr>
              <w:t>陪同人员：</w:t>
            </w:r>
            <w:r>
              <w:rPr>
                <w:rFonts w:hint="eastAsia" w:ascii="宋体" w:hAnsi="宋体" w:eastAsia="宋体" w:cs="Times New Roman"/>
                <w:sz w:val="24"/>
                <w:szCs w:val="22"/>
                <w:lang w:val="en-US" w:eastAsia="zh-CN"/>
              </w:rPr>
              <w:t>吴明华</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pPr>
              <w:spacing w:line="360" w:lineRule="auto"/>
            </w:pPr>
          </w:p>
        </w:tc>
        <w:tc>
          <w:tcPr>
            <w:tcW w:w="1140" w:type="dxa"/>
            <w:vMerge w:val="continue"/>
            <w:vAlign w:val="center"/>
          </w:tcPr>
          <w:p>
            <w:pPr>
              <w:spacing w:line="360" w:lineRule="auto"/>
            </w:pPr>
          </w:p>
        </w:tc>
        <w:tc>
          <w:tcPr>
            <w:tcW w:w="10004" w:type="dxa"/>
            <w:vAlign w:val="center"/>
          </w:tcPr>
          <w:p>
            <w:pPr>
              <w:spacing w:before="120" w:line="360" w:lineRule="auto"/>
              <w:rPr>
                <w:rFonts w:hint="default" w:eastAsia="宋体"/>
                <w:lang w:val="en-US" w:eastAsia="zh-CN"/>
              </w:rPr>
            </w:pPr>
            <w:r>
              <w:rPr>
                <w:rFonts w:hint="eastAsia"/>
                <w:sz w:val="24"/>
                <w:szCs w:val="24"/>
              </w:rPr>
              <w:t>审核员：</w:t>
            </w:r>
            <w:r>
              <w:rPr>
                <w:rFonts w:hint="eastAsia"/>
                <w:sz w:val="24"/>
                <w:szCs w:val="24"/>
                <w:lang w:val="en-US" w:eastAsia="zh-CN"/>
              </w:rPr>
              <w:t xml:space="preserve">褚敏杰  蒙亭           </w:t>
            </w:r>
            <w:r>
              <w:rPr>
                <w:rFonts w:hint="eastAsia"/>
                <w:sz w:val="24"/>
                <w:szCs w:val="24"/>
              </w:rPr>
              <w:t>审核时间：</w:t>
            </w:r>
            <w:r>
              <w:rPr>
                <w:rFonts w:hint="eastAsia"/>
                <w:sz w:val="24"/>
                <w:szCs w:val="24"/>
                <w:lang w:val="en-US" w:eastAsia="zh-CN"/>
              </w:rPr>
              <w:t>2021.7.2</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pPr>
              <w:spacing w:line="360" w:lineRule="auto"/>
            </w:pPr>
          </w:p>
        </w:tc>
        <w:tc>
          <w:tcPr>
            <w:tcW w:w="1140" w:type="dxa"/>
            <w:vMerge w:val="continue"/>
            <w:vAlign w:val="center"/>
          </w:tcPr>
          <w:p>
            <w:pPr>
              <w:spacing w:line="360" w:lineRule="auto"/>
            </w:pPr>
          </w:p>
        </w:tc>
        <w:tc>
          <w:tcPr>
            <w:tcW w:w="10004" w:type="dxa"/>
            <w:vAlign w:val="center"/>
          </w:tcPr>
          <w:p>
            <w:pPr>
              <w:spacing w:line="360" w:lineRule="auto"/>
              <w:rPr>
                <w:rFonts w:hint="eastAsia"/>
                <w:sz w:val="24"/>
                <w:szCs w:val="24"/>
              </w:rPr>
            </w:pPr>
            <w:r>
              <w:rPr>
                <w:rFonts w:hint="eastAsia"/>
                <w:sz w:val="24"/>
                <w:szCs w:val="24"/>
              </w:rPr>
              <w:t>审核条款：</w:t>
            </w:r>
          </w:p>
          <w:p>
            <w:pPr>
              <w:pStyle w:val="3"/>
              <w:keepNext w:val="0"/>
              <w:keepLines w:val="0"/>
              <w:pageBreakBefore w:val="0"/>
              <w:widowControl w:val="0"/>
              <w:kinsoku/>
              <w:wordWrap/>
              <w:overflowPunct/>
              <w:topLinePunct w:val="0"/>
              <w:autoSpaceDE/>
              <w:autoSpaceDN/>
              <w:bidi w:val="0"/>
              <w:adjustRightInd/>
              <w:spacing w:after="0" w:afterLines="0" w:line="240" w:lineRule="auto"/>
              <w:ind w:left="0" w:leftChars="0" w:firstLine="0" w:firstLineChars="0"/>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QMS：5.3组织的岗位、职责和权限、6.2质量目标、7.1.2人员、7.1.3基础设施、7.1.4过程运行环境、7.1.5监视和测量资源、7.1.6组织知识、7.2能力、7.3意识、7.5形成文件的信息、8.4外部提供过程、产品和服</w:t>
            </w:r>
            <w:r>
              <w:rPr>
                <w:rFonts w:hint="eastAsia" w:ascii="宋体" w:hAnsi="宋体" w:eastAsia="宋体" w:cs="Arial"/>
                <w:color w:val="auto"/>
                <w:spacing w:val="-6"/>
                <w:sz w:val="21"/>
                <w:szCs w:val="21"/>
                <w:lang w:val="en-US" w:eastAsia="zh-CN"/>
              </w:rPr>
              <w:t>务的控制</w:t>
            </w:r>
            <w:r>
              <w:rPr>
                <w:rFonts w:hint="eastAsia" w:ascii="宋体" w:hAnsi="宋体" w:cs="Arial"/>
                <w:color w:val="auto"/>
                <w:spacing w:val="-6"/>
                <w:sz w:val="21"/>
                <w:szCs w:val="21"/>
                <w:lang w:val="en-US" w:eastAsia="zh-CN"/>
              </w:rPr>
              <w:t>、</w:t>
            </w:r>
            <w:r>
              <w:rPr>
                <w:rFonts w:hint="eastAsia" w:ascii="宋体" w:hAnsi="宋体" w:eastAsia="宋体" w:cs="Arial"/>
                <w:spacing w:val="-6"/>
                <w:sz w:val="21"/>
                <w:szCs w:val="21"/>
                <w:lang w:val="en-US" w:eastAsia="zh-CN"/>
              </w:rPr>
              <w:t>9.1.1监视、测量、分析和评价总则、9.1.3分析与评价、9.2内部审核、10.2不合格和纠正措施；</w:t>
            </w:r>
          </w:p>
          <w:p>
            <w:pPr>
              <w:spacing w:line="240" w:lineRule="auto"/>
              <w:rPr>
                <w:rFonts w:hint="eastAsia"/>
                <w:sz w:val="24"/>
                <w:szCs w:val="24"/>
              </w:rPr>
            </w:pPr>
            <w:r>
              <w:rPr>
                <w:rFonts w:hint="eastAsia" w:ascii="宋体" w:hAnsi="宋体" w:eastAsia="宋体" w:cs="Arial"/>
                <w:spacing w:val="-6"/>
                <w:sz w:val="21"/>
                <w:szCs w:val="21"/>
                <w:lang w:val="en-US" w:eastAsia="zh-CN"/>
              </w:rPr>
              <w:t>EMS/OHSMS：5.3组织的岗位、职责和权限、6.1.2环境因素/危险源辨识与评价识别与评价、6.1.4控制措施的策划、6.2环境/职业健康安全目标及实现目标措施的策划、6.1.3合规义务、9.1.2合规性评价、7.1资源、7.2能力、7.3意识、7.5形成文件的信息、9.1.1监视、测量、分析和评价总则、9.2内部审核、10.2不符合/事件和纠正措施</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80" w:type="dxa"/>
            <w:vAlign w:val="top"/>
          </w:tcPr>
          <w:p>
            <w:pPr>
              <w:spacing w:line="360" w:lineRule="auto"/>
              <w:rPr>
                <w:rFonts w:ascii="Times New Roman" w:hAnsi="Times New Roman" w:eastAsia="宋体" w:cs="Times New Roman"/>
                <w:color w:val="auto"/>
                <w:kern w:val="2"/>
                <w:sz w:val="21"/>
                <w:lang w:val="en-US" w:eastAsia="zh-CN" w:bidi="ar-SA"/>
              </w:rPr>
            </w:pPr>
            <w:r>
              <w:rPr>
                <w:rFonts w:hint="eastAsia"/>
                <w:color w:val="auto"/>
              </w:rPr>
              <w:t>岗位、职责和权限</w:t>
            </w:r>
          </w:p>
        </w:tc>
        <w:tc>
          <w:tcPr>
            <w:tcW w:w="114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i w:val="0"/>
                <w:iCs w:val="0"/>
                <w:color w:val="auto"/>
                <w:highlight w:val="none"/>
                <w:lang w:val="en-US" w:eastAsia="zh-CN"/>
              </w:rPr>
            </w:pPr>
            <w:r>
              <w:rPr>
                <w:rFonts w:hint="eastAsia"/>
                <w:i w:val="0"/>
                <w:iCs w:val="0"/>
                <w:color w:val="auto"/>
                <w:highlight w:val="none"/>
                <w:lang w:val="en-US" w:eastAsia="zh-CN"/>
              </w:rPr>
              <w:t>行政部现有1人；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主要负责行政管理和人力资源管理；保证物料供应；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环境因素、危险源的识别、评价及控制以及应急管理；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FF0000"/>
                <w:kern w:val="2"/>
                <w:sz w:val="21"/>
                <w:lang w:val="en-US" w:eastAsia="zh-CN" w:bidi="ar-SA"/>
              </w:rPr>
            </w:pPr>
            <w:r>
              <w:rPr>
                <w:rFonts w:hint="eastAsia"/>
                <w:color w:val="auto"/>
                <w:lang w:val="en-US" w:eastAsia="zh-CN"/>
              </w:rPr>
              <w:t>协助做好管理评审工作、组织开展内部审核。</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目标</w:t>
            </w:r>
          </w:p>
        </w:tc>
        <w:tc>
          <w:tcPr>
            <w:tcW w:w="1140" w:type="dxa"/>
            <w:vAlign w:val="top"/>
          </w:tcPr>
          <w:p>
            <w:pPr>
              <w:spacing w:line="360" w:lineRule="auto"/>
              <w:jc w:val="center"/>
              <w:rPr>
                <w:rFonts w:hint="default"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lang w:val="en-US" w:eastAsia="zh-CN"/>
              </w:rPr>
              <w:t>QEO:6.2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lang w:val="en-US" w:eastAsia="zh-CN"/>
              </w:rPr>
              <w:t>查见“目标分解考核表”，显示对目标进行了分解；</w:t>
            </w:r>
            <w:r>
              <w:rPr>
                <w:rFonts w:hint="eastAsia"/>
                <w:color w:val="auto"/>
                <w:highlight w:val="none"/>
                <w:lang w:val="en-US" w:eastAsia="zh-CN"/>
              </w:rPr>
              <w:t>见行政部的目标：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文件使用有效率100%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 xml:space="preserve">培训合格率达100%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固废分类处置率100%；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火灾事故为0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环保、安全资金提供及时100%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供方评定合格率100%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default"/>
                <w:color w:val="auto"/>
                <w:highlight w:val="none"/>
                <w:lang w:val="en-US" w:eastAsia="zh-CN"/>
              </w:rPr>
              <w:t>采购产品交货及时率≥90%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查见“目标与管理方案及实施情况一览表”，对指标、措施、时间要求、责任部门、责任人进行了明确；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考核目标均已全部完成；</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lang w:val="en-US" w:eastAsia="zh-CN"/>
              </w:rPr>
            </w:pPr>
            <w:r>
              <w:rPr>
                <w:rFonts w:hint="eastAsia"/>
                <w:color w:val="auto"/>
                <w:highlight w:val="none"/>
                <w:lang w:val="en-US" w:eastAsia="zh-CN"/>
              </w:rPr>
              <w:t>基本符合。</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spacing w:line="360" w:lineRule="auto"/>
              <w:rPr>
                <w:rFonts w:hint="eastAsia"/>
                <w:color w:val="auto"/>
                <w:lang w:val="en-US" w:eastAsia="zh-CN"/>
              </w:rPr>
            </w:pPr>
            <w:r>
              <w:rPr>
                <w:rFonts w:hint="eastAsia"/>
                <w:color w:val="auto"/>
                <w:lang w:val="en-US" w:eastAsia="zh-CN"/>
              </w:rPr>
              <w:t>环境因素/危险源的识别与评价</w:t>
            </w:r>
          </w:p>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措施的策划</w:t>
            </w:r>
          </w:p>
        </w:tc>
        <w:tc>
          <w:tcPr>
            <w:tcW w:w="1140" w:type="dxa"/>
            <w:vAlign w:val="top"/>
          </w:tcPr>
          <w:p>
            <w:pPr>
              <w:spacing w:line="360" w:lineRule="auto"/>
              <w:jc w:val="center"/>
              <w:rPr>
                <w:rFonts w:hint="eastAsia"/>
                <w:color w:val="auto"/>
                <w:lang w:val="en-US" w:eastAsia="zh-CN"/>
              </w:rPr>
            </w:pPr>
            <w:r>
              <w:rPr>
                <w:rFonts w:hint="eastAsia"/>
                <w:color w:val="auto"/>
                <w:lang w:val="en-US" w:eastAsia="zh-CN"/>
              </w:rPr>
              <w:t>EO:6.1.2</w:t>
            </w:r>
          </w:p>
          <w:p>
            <w:pPr>
              <w:spacing w:line="360" w:lineRule="auto"/>
              <w:jc w:val="center"/>
              <w:rPr>
                <w:rFonts w:hint="eastAsia" w:ascii="Times New Roman" w:hAnsi="Times New Roman" w:eastAsia="宋体" w:cs="Times New Roman"/>
                <w:color w:val="auto"/>
                <w:kern w:val="2"/>
                <w:sz w:val="21"/>
                <w:lang w:val="en-US" w:eastAsia="zh-CN" w:bidi="ar-SA"/>
              </w:rPr>
            </w:pPr>
            <w:r>
              <w:rPr>
                <w:rFonts w:hint="eastAsia"/>
                <w:color w:val="auto"/>
                <w:lang w:val="en-US" w:eastAsia="zh-CN"/>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提供了环境因素和危险源识别评价与控制程序，有效文件，无变化。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2"/>
                <w:lang w:val="en-US" w:eastAsia="zh-CN"/>
              </w:rPr>
            </w:pPr>
            <w:r>
              <w:rPr>
                <w:rFonts w:hint="eastAsia"/>
                <w:color w:val="auto"/>
                <w:szCs w:val="22"/>
                <w:lang w:val="en-US" w:eastAsia="zh-CN"/>
              </w:rPr>
              <w:t>查“环境因素辨识和评价表”，对办公活动的生活垃圾的处置不当污染环境、办公场所吸烟污染环境、复印机打印机废墨盒处置污染环境、火灾发生后废弃物污染大气、水土等，以及生产过程中粉尘的排放，噪声的排放，能源的消耗，废渣的排放、固废的废弃、化学品泄漏、化学品爆炸、化学品仓库清洁、水的消耗等进行了辨识和评价；在环境评价过程中考虑到环境影响、三种时态和三种状态，考虑了生命周期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采取打分法评价；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查到“重要环境因素清单”，评价出</w:t>
            </w:r>
            <w:r>
              <w:rPr>
                <w:rFonts w:hint="default" w:ascii="宋体" w:hAnsi="宋体" w:cs="Arial"/>
                <w:color w:val="auto"/>
                <w:spacing w:val="-6"/>
                <w:sz w:val="21"/>
                <w:szCs w:val="21"/>
                <w:lang w:val="en-US" w:eastAsia="zh-CN"/>
              </w:rPr>
              <w:t>重大环境因素：固体废物排放</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潜在火灾</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噪声排放</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粉尘排放；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查“危险源调查表”，识别了原料搬运、设备运行等过程中的碰撞、割伤刺伤、噪声影响、触电、爆炸、火灾、机械打击、粉尘伤害等；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对识别出的危险源采取D=LEC进行评价；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highlight w:val="none"/>
                <w:lang w:val="en-US" w:eastAsia="zh-CN"/>
              </w:rPr>
              <w:t>查到“不可接受风险清单”，</w:t>
            </w:r>
            <w:r>
              <w:rPr>
                <w:rFonts w:hint="eastAsia"/>
                <w:color w:val="auto"/>
                <w:lang w:val="en-US" w:eastAsia="zh-CN"/>
              </w:rPr>
              <w:t>经评价</w:t>
            </w:r>
            <w:r>
              <w:rPr>
                <w:rFonts w:hint="default" w:ascii="宋体" w:hAnsi="宋体" w:cs="Arial"/>
                <w:color w:val="auto"/>
                <w:spacing w:val="-6"/>
                <w:sz w:val="21"/>
                <w:szCs w:val="21"/>
                <w:lang w:val="en-US" w:eastAsia="zh-CN"/>
              </w:rPr>
              <w:t>不可接受风险：</w:t>
            </w:r>
            <w:r>
              <w:rPr>
                <w:rFonts w:hint="eastAsia" w:ascii="宋体" w:hAnsi="宋体" w:cs="Arial"/>
                <w:color w:val="auto"/>
                <w:spacing w:val="-6"/>
                <w:sz w:val="21"/>
                <w:szCs w:val="21"/>
                <w:lang w:val="en-US" w:eastAsia="zh-CN"/>
              </w:rPr>
              <w:t>机械伤害、触电、火灾、听力伤害、粉尘伤害、交通事故伤害</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制订了“目标与管理方案及实施情况一览表”，明确了控制措施、时间要求、责任部门、责任人等。</w:t>
            </w:r>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eastAsia"/>
                <w:color w:val="auto"/>
                <w:lang w:val="en-US" w:eastAsia="zh-CN"/>
              </w:rPr>
            </w:pPr>
            <w:r>
              <w:rPr>
                <w:rFonts w:hint="eastAsia"/>
                <w:color w:val="auto"/>
                <w:lang w:val="en-US" w:eastAsia="zh-CN"/>
              </w:rPr>
              <w:t>人员</w:t>
            </w:r>
          </w:p>
          <w:p>
            <w:pPr>
              <w:spacing w:line="360" w:lineRule="auto"/>
              <w:rPr>
                <w:rFonts w:hint="eastAsia"/>
                <w:color w:val="auto"/>
                <w:lang w:val="en-US" w:eastAsia="zh-CN"/>
              </w:rPr>
            </w:pPr>
            <w:r>
              <w:rPr>
                <w:rFonts w:hint="eastAsia"/>
                <w:color w:val="auto"/>
                <w:lang w:val="en-US" w:eastAsia="zh-CN"/>
              </w:rPr>
              <w:t>能力</w:t>
            </w:r>
          </w:p>
          <w:p>
            <w:pPr>
              <w:spacing w:line="360" w:lineRule="auto"/>
              <w:rPr>
                <w:rFonts w:hint="default" w:ascii="Times New Roman" w:hAnsi="Times New Roman" w:eastAsia="宋体" w:cs="Times New Roman"/>
                <w:color w:val="auto"/>
                <w:kern w:val="2"/>
                <w:sz w:val="21"/>
                <w:lang w:val="en-US" w:eastAsia="zh-CN" w:bidi="ar-SA"/>
              </w:rPr>
            </w:pPr>
            <w:r>
              <w:rPr>
                <w:rFonts w:hint="eastAsia"/>
                <w:color w:val="auto"/>
                <w:lang w:val="en-US" w:eastAsia="zh-CN"/>
              </w:rPr>
              <w:t>意识</w:t>
            </w:r>
          </w:p>
        </w:tc>
        <w:tc>
          <w:tcPr>
            <w:tcW w:w="1140" w:type="dxa"/>
            <w:vAlign w:val="top"/>
          </w:tcPr>
          <w:p>
            <w:pPr>
              <w:spacing w:line="360" w:lineRule="auto"/>
              <w:jc w:val="center"/>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Q:7.1.2</w:t>
            </w:r>
          </w:p>
          <w:p>
            <w:pPr>
              <w:spacing w:line="360" w:lineRule="auto"/>
              <w:jc w:val="center"/>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QEO:7.2</w:t>
            </w:r>
          </w:p>
          <w:p>
            <w:pPr>
              <w:spacing w:line="360" w:lineRule="auto"/>
              <w:jc w:val="center"/>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7.3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公司现有人员</w:t>
            </w:r>
            <w:r>
              <w:rPr>
                <w:rFonts w:hint="eastAsia" w:ascii="宋体"/>
                <w:b/>
                <w:highlight w:val="none"/>
                <w:lang w:val="en-US" w:eastAsia="zh-CN"/>
              </w:rPr>
              <w:t>15</w:t>
            </w:r>
            <w:r>
              <w:rPr>
                <w:rFonts w:hint="eastAsia"/>
                <w:color w:val="auto"/>
                <w:highlight w:val="none"/>
                <w:lang w:val="en-US" w:eastAsia="zh-CN"/>
              </w:rPr>
              <w:t>人，</w:t>
            </w:r>
            <w:r>
              <w:rPr>
                <w:rFonts w:hint="eastAsia"/>
                <w:szCs w:val="22"/>
                <w:highlight w:val="none"/>
                <w:lang w:val="en-US" w:eastAsia="zh-CN"/>
              </w:rPr>
              <w:t>特种作业人员持证上岗</w:t>
            </w:r>
            <w:r>
              <w:rPr>
                <w:rFonts w:hint="eastAsia"/>
                <w:szCs w:val="22"/>
                <w:highlight w:val="none"/>
                <w:lang w:val="zh-CN"/>
              </w:rPr>
              <w:t>；</w:t>
            </w:r>
            <w:r>
              <w:rPr>
                <w:rFonts w:hint="eastAsia" w:ascii="宋体" w:hAnsi="宋体" w:cs="Arial"/>
                <w:color w:val="auto"/>
                <w:spacing w:val="-6"/>
                <w:sz w:val="21"/>
                <w:szCs w:val="21"/>
                <w:highlight w:val="none"/>
                <w:lang w:val="en-US" w:eastAsia="zh-CN"/>
              </w:rPr>
              <w:t>管理人员、技术人员能</w:t>
            </w:r>
            <w:r>
              <w:rPr>
                <w:rFonts w:hint="eastAsia"/>
                <w:color w:val="auto"/>
                <w:highlight w:val="none"/>
                <w:lang w:val="en-US" w:eastAsia="zh-CN"/>
              </w:rPr>
              <w:t>够有效实施管理体系，并运行和控制其过程。</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highlight w:val="none"/>
                <w:lang w:val="en-US" w:eastAsia="zh-CN"/>
              </w:rPr>
            </w:pPr>
            <w:r>
              <w:rPr>
                <w:rFonts w:hint="eastAsia"/>
                <w:color w:val="auto"/>
                <w:highlight w:val="none"/>
                <w:lang w:val="en-US" w:eastAsia="zh-CN"/>
              </w:rPr>
              <w:t>保持“岗位说明书”，对各岗位的任职要求和能力要求进行了规定；职责中都包含了安全管理的要求；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查见“培训计划”，计划2021年开展管理体系内审员培训、环境、安全法律法规的培训、岗位技能培训、生产操作规程等14项次；</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查“培训记录及培训效果评价表”，抽见：</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lang w:val="en-US" w:eastAsia="zh-CN"/>
              </w:rPr>
            </w:pPr>
            <w:r>
              <w:rPr>
                <w:rFonts w:hint="eastAsia"/>
                <w:color w:val="auto"/>
                <w:szCs w:val="22"/>
                <w:highlight w:val="none"/>
                <w:lang w:val="en-US" w:eastAsia="zh-CN"/>
              </w:rPr>
              <w:t>管理体系内审员培训—</w:t>
            </w:r>
            <w:r>
              <w:rPr>
                <w:rFonts w:hint="eastAsia" w:ascii="宋体" w:hAnsi="宋体"/>
                <w:szCs w:val="21"/>
                <w:lang w:val="en-US" w:eastAsia="zh-CN"/>
              </w:rPr>
              <w:t>—2021.3.25</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环境、安全法律法规的培训——</w:t>
            </w:r>
            <w:r>
              <w:rPr>
                <w:rFonts w:hint="eastAsia" w:ascii="宋体" w:hAnsi="宋体"/>
                <w:szCs w:val="21"/>
                <w:lang w:val="en-US" w:eastAsia="zh-CN"/>
              </w:rPr>
              <w:t>2021.4.11</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yellow"/>
                <w:lang w:val="en-US" w:eastAsia="zh-CN"/>
              </w:rPr>
            </w:pPr>
            <w:r>
              <w:rPr>
                <w:rFonts w:hint="eastAsia"/>
                <w:color w:val="auto"/>
                <w:szCs w:val="22"/>
                <w:highlight w:val="none"/>
                <w:lang w:val="en-US" w:eastAsia="zh-CN"/>
              </w:rPr>
              <w:t>考核及评价记录显示以口头问答的方式对培训效果进行了评价，培训达到预期的目的。</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查见人员证书：</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吴XX——企业职业卫生管理人员培训合格证书，2020.5.28，赣州经济开发区卫生计生综合监督执法局；</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申XX——企业职业卫生管理人员培训合格证书，2020.5.28，赣州经济开发区卫生计生综合监督执法局；</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邬XX——建筑电工，2021.07.16，江西省住房和城乡建设厅发，有效；</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肖XX——II类锅炉，赣州市质量技术监督局发，已过期；介绍说，锅炉已停用，不再需要锅炉工，所以证书未保持；</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意识：</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default"/>
                <w:color w:val="auto"/>
                <w:szCs w:val="22"/>
                <w:highlight w:val="none"/>
                <w:lang w:val="en-US" w:eastAsia="zh-CN"/>
              </w:rPr>
              <w:t>经与部门负责人沟通交流，</w:t>
            </w:r>
            <w:r>
              <w:rPr>
                <w:rFonts w:hint="eastAsia"/>
                <w:color w:val="auto"/>
                <w:szCs w:val="22"/>
                <w:highlight w:val="none"/>
                <w:lang w:val="en-US" w:eastAsia="zh-CN"/>
              </w:rPr>
              <w:t>主要</w:t>
            </w:r>
            <w:r>
              <w:rPr>
                <w:rFonts w:hint="default"/>
                <w:color w:val="auto"/>
                <w:szCs w:val="22"/>
                <w:highlight w:val="none"/>
                <w:lang w:val="en-US" w:eastAsia="zh-CN"/>
              </w:rPr>
              <w:t>通过培训提高岗位作业水平和环保、安全意识，</w:t>
            </w:r>
            <w:r>
              <w:rPr>
                <w:rFonts w:hint="eastAsia"/>
                <w:color w:val="auto"/>
                <w:szCs w:val="22"/>
                <w:highlight w:val="none"/>
                <w:lang w:val="en-US" w:eastAsia="zh-CN"/>
              </w:rPr>
              <w:t>询问</w:t>
            </w:r>
            <w:r>
              <w:rPr>
                <w:rFonts w:hint="default"/>
                <w:color w:val="auto"/>
                <w:szCs w:val="22"/>
                <w:highlight w:val="none"/>
                <w:lang w:val="en-US" w:eastAsia="zh-CN"/>
              </w:rPr>
              <w:t>部分员工，他们对公司的管理方针</w:t>
            </w:r>
            <w:r>
              <w:rPr>
                <w:rFonts w:hint="eastAsia"/>
                <w:color w:val="auto"/>
                <w:szCs w:val="22"/>
                <w:highlight w:val="none"/>
                <w:lang w:val="en-US" w:eastAsia="zh-CN"/>
              </w:rPr>
              <w:t>、</w:t>
            </w:r>
            <w:r>
              <w:rPr>
                <w:rFonts w:hint="default"/>
                <w:color w:val="auto"/>
                <w:szCs w:val="22"/>
                <w:highlight w:val="none"/>
                <w:lang w:val="en-US" w:eastAsia="zh-CN"/>
              </w:rPr>
              <w:t>管理目标、对环境</w:t>
            </w:r>
            <w:r>
              <w:rPr>
                <w:rFonts w:hint="eastAsia"/>
                <w:color w:val="auto"/>
                <w:szCs w:val="22"/>
                <w:highlight w:val="none"/>
                <w:lang w:val="en-US" w:eastAsia="zh-CN"/>
              </w:rPr>
              <w:t>、</w:t>
            </w:r>
            <w:r>
              <w:rPr>
                <w:rFonts w:hint="default"/>
                <w:color w:val="auto"/>
                <w:szCs w:val="22"/>
                <w:highlight w:val="none"/>
                <w:lang w:val="en-US" w:eastAsia="zh-CN"/>
              </w:rPr>
              <w:t>职业健康安全管理体系有效性的贡献，包括提高效率、技能、改进工艺和恪尽职守带来的节能减排、保护员工健康等的益处，以及因自己岗位职责疏忽带来不符合给公司环境安全承诺带来的后果。</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员工能</w:t>
            </w:r>
            <w:r>
              <w:rPr>
                <w:rFonts w:hint="default"/>
                <w:color w:val="auto"/>
                <w:szCs w:val="22"/>
                <w:highlight w:val="none"/>
                <w:lang w:val="en-US" w:eastAsia="zh-CN"/>
              </w:rPr>
              <w:t>明确自身职责及岗位要求，自身工作影响，如何减少环境污染，员工人身安全意识等。</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kern w:val="2"/>
                <w:sz w:val="21"/>
                <w:lang w:val="en-US" w:eastAsia="zh-CN" w:bidi="ar-SA"/>
              </w:rPr>
            </w:pPr>
            <w:r>
              <w:rPr>
                <w:rFonts w:hint="default"/>
                <w:color w:val="auto"/>
                <w:szCs w:val="22"/>
                <w:highlight w:val="none"/>
                <w:lang w:val="en-US" w:eastAsia="zh-CN"/>
              </w:rPr>
              <w:t>基本能满足要求。</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Ansi="宋体"/>
                <w:szCs w:val="21"/>
              </w:rPr>
              <w:t>组织知识</w:t>
            </w:r>
          </w:p>
        </w:tc>
        <w:tc>
          <w:tcPr>
            <w:tcW w:w="1140" w:type="dxa"/>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7.1.6</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default"/>
                <w:color w:val="auto"/>
                <w:szCs w:val="22"/>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default"/>
                <w:color w:val="auto"/>
                <w:szCs w:val="22"/>
                <w:highlight w:val="none"/>
                <w:lang w:val="en-US" w:eastAsia="zh-CN"/>
              </w:rPr>
              <w:t>从内部来源获取的有：多年的工作经验、教训、内部的知识产权等；</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default"/>
                <w:color w:val="auto"/>
                <w:szCs w:val="22"/>
                <w:highlight w:val="none"/>
                <w:lang w:val="en-US" w:eastAsia="zh-CN"/>
              </w:rPr>
              <w:t>外部来源获取有：标杆对比、行业会议、客户技术要求、咨询老师传授的体系知识及所实施的内审员的培训；顾客方提供的资料等。</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保持有实用新型专利8个；</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default"/>
                <w:color w:val="auto"/>
                <w:szCs w:val="22"/>
                <w:highlight w:val="none"/>
                <w:lang w:val="en-US" w:eastAsia="zh-CN"/>
              </w:rPr>
              <w:t>在应对变化的需求和趋势时，相关部门考虑现有的知识，确定如何获取更多的必要的额外知识，并根据变化的情况及时更新。</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rPr>
              <w:t>外部提供过程、产品和服务的控制</w:t>
            </w:r>
          </w:p>
        </w:tc>
        <w:tc>
          <w:tcPr>
            <w:tcW w:w="114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w:t>
            </w:r>
            <w:r>
              <w:rPr>
                <w:rFonts w:hint="eastAsia" w:ascii="宋体" w:hAnsi="宋体" w:cs="Arial"/>
                <w:color w:val="auto"/>
                <w:spacing w:val="-6"/>
                <w:sz w:val="21"/>
                <w:szCs w:val="21"/>
              </w:rPr>
              <w:t>8.4</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编制有：采购控制程序</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策划有:选择、评价和重新评价供方的准则；</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查见“供方调查评价表”，抽见对以下厂家或供应商进行了调查评价:</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辽宁科隆精细化工股份有限公司——F-1088、F-108</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福州旭隆化工有限公司——聚醚单体704、丙烯酸</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赣州鑫美化工有限公司——双氧水</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济宁市百盛生物制品销售有限公司——葡萄糖酸钠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明确了调查内容包括相关资质、生产设备、作业环境、技术力量、检测、供应能力、运输条件、质量保证等方面；</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供方明确承诺安全生产、质量第一，样品检测合格。</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评审人员签名，评审结论为继续列入合格供方名录。</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查见“合格供方名录”，一致。</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查采购要求的控制，介绍说，通过签订采购合同进行控制，抽见采购合同：</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辽宁科隆精细化工股份有限公司——F108、F1088，2021.6.22；</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——F108，2021.4.23；</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福州旭隆化工有限公司——聚醚单体704，2021.1.5；</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 xml:space="preserve">                     ——丙烯酸，2021.4.12；</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赣州鑫美化工有限公司——双氧水，2019.3.22，长期合同，每次订单采购，交货日期-以公安局易制爆化学品购买备案证明批准时间；</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查见供应商的“易制爆危险化学品从业单位备案证明”，备案机关：赣州市公安局章贡区分局；</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查见供应商提供的“易制爆危化品经营台账”，2021.4.12，记录了购买双氧水1000kg，用于生产，经办人蒙X、身份证号、购买单位、地址等信息；</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济宁市百盛生物制品销售有限公司——葡萄糖酸钠，2020.8.28；</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以上合同明确了名称、规格型号、数量、价格、质量、配置要求、交付、结算、验收标准等内容；</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以上供方均在合格供方名录。</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本公司无外包过程。</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8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合规义务</w:t>
            </w:r>
          </w:p>
          <w:p>
            <w:pPr>
              <w:pStyle w:val="3"/>
              <w:ind w:left="0" w:leftChars="0" w:firstLine="0" w:firstLineChars="0"/>
              <w:rPr>
                <w:rFonts w:hint="default"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kern w:val="2"/>
                <w:sz w:val="21"/>
                <w:lang w:val="en-US" w:eastAsia="zh-CN" w:bidi="ar-SA"/>
              </w:rPr>
              <w:t>合规性评价</w:t>
            </w:r>
          </w:p>
        </w:tc>
        <w:tc>
          <w:tcPr>
            <w:tcW w:w="1140"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EO:6.1.3</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asciiTheme="minorEastAsia" w:hAnsiTheme="minorEastAsia" w:eastAsiaTheme="minorEastAsia" w:cstheme="minorEastAsia"/>
                <w:color w:val="auto"/>
                <w:spacing w:val="-6"/>
                <w:kern w:val="2"/>
                <w:sz w:val="21"/>
                <w:szCs w:val="21"/>
                <w:lang w:val="en-US" w:eastAsia="zh-CN" w:bidi="ar-SA"/>
              </w:rPr>
            </w:pPr>
            <w:r>
              <w:rPr>
                <w:rFonts w:hint="eastAsia" w:asciiTheme="minorEastAsia" w:hAnsiTheme="minorEastAsia" w:eastAsiaTheme="minorEastAsia" w:cstheme="minorEastAsia"/>
                <w:color w:val="auto"/>
                <w:spacing w:val="-6"/>
                <w:kern w:val="2"/>
                <w:sz w:val="21"/>
                <w:szCs w:val="21"/>
                <w:lang w:val="en-US" w:eastAsia="zh-CN" w:bidi="ar-SA"/>
              </w:rPr>
              <w:t>9.1.2</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查见“环境和职业健康安全法律法规控制程序”，有效文件，无变化；</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环境和职业健康安全“法律法规及其他要求清单”，收集了中华人民共和国大气污染防治法、中华人民共和国固体废物污染环境防治法、中华人民共和国环境保护法、中华人民共和国环境噪声污染防治法、中华人民共和国水污染防治法、大气污染物综合排放标准、污水综合排放标准、中华人民共和国安全生产法、中华人民共和国职业病防治法、中华人民共和国消防法、中华人民共和国道路交通安全法等97部；基本符合。</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合规性评价报告”，2021年3月12日开展了年度的合规性评价工作，评价结论：没有违反国家法律、法规及相关标准，能严格遵守国家有关环境和职业健康安全管理方面的相关规定，密切关注法律法规的变化，并适时调整，严格按体系标准执行。</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保留有评价通知和评价记录。</w:t>
            </w:r>
          </w:p>
        </w:tc>
        <w:tc>
          <w:tcPr>
            <w:tcW w:w="1585"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ascii="宋体" w:hAnsi="宋体" w:cs="Arial"/>
                <w:color w:val="auto"/>
                <w:spacing w:val="-6"/>
                <w:sz w:val="21"/>
                <w:szCs w:val="21"/>
                <w:u w:val="none"/>
              </w:rPr>
              <w:t>运行策划和控制</w:t>
            </w:r>
          </w:p>
        </w:tc>
        <w:tc>
          <w:tcPr>
            <w:tcW w:w="1140" w:type="dxa"/>
            <w:vAlign w:val="top"/>
          </w:tcPr>
          <w:p>
            <w:pPr>
              <w:spacing w:line="360" w:lineRule="auto"/>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u w:val="none"/>
                <w:lang w:val="en-US" w:eastAsia="zh-CN"/>
              </w:rPr>
              <w:t>EO:</w:t>
            </w:r>
            <w:r>
              <w:rPr>
                <w:rFonts w:hint="eastAsia" w:ascii="宋体" w:hAnsi="宋体" w:cs="Arial"/>
                <w:color w:val="auto"/>
                <w:spacing w:val="-6"/>
                <w:sz w:val="21"/>
                <w:szCs w:val="21"/>
                <w:u w:val="none"/>
              </w:rPr>
              <w:t>8.1</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公司策划了环境安全管理相关程序文件和管理制度：</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运行控制程序、废弃物控制程序、噪声控制程序、消防控制程序、资源能源控制程序、应急准备和响应控制程序等；</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现场观察：配置的办公桌符合人机工程要求，干净整洁，照明、通风良好；配置有空调，温度适宜；有少量绿植；查见配置有灭火器，状态良好；</w:t>
            </w:r>
          </w:p>
          <w:p>
            <w:pPr>
              <w:spacing w:line="360" w:lineRule="auto"/>
              <w:ind w:firstLine="420" w:firstLineChars="200"/>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办公室内主要是电的使用，现场查看电路、电源正常，电路布线合理、电气插座完整，未见破损，无乱拉乱接电线、使用超额电气等现象；未见用电不当等安全隐患及不良影响现象。</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节约用水用电、纸张双面使用、无乱拉乱接电线、无超额电器使用；</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生活废水经市政管网排放；</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办公环境安静，无明显噪声和废气；</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办公垃圾由环卫部门收集处理；</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办公用墨盒硒鼓等危废以旧换新；</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对部门员工进行了不定期的交通安全宣传；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w:t>
            </w:r>
            <w:r>
              <w:rPr>
                <w:rFonts w:hint="default"/>
                <w:color w:val="auto"/>
                <w:szCs w:val="22"/>
                <w:highlight w:val="none"/>
                <w:lang w:val="en-US" w:eastAsia="zh-CN"/>
              </w:rPr>
              <w:t>相关方告知书</w:t>
            </w:r>
            <w:r>
              <w:rPr>
                <w:rFonts w:hint="eastAsia"/>
                <w:color w:val="auto"/>
                <w:szCs w:val="22"/>
                <w:highlight w:val="none"/>
                <w:lang w:val="en-US" w:eastAsia="zh-CN"/>
              </w:rPr>
              <w:t>”，有效文件，对供方进行了环境和职业健康安全有关事项的沟通。</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劳保用品</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查见“劳保用品发放记录”，见发放有工作服、防护口罩、安全帽；</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抽见安全生产责任书，公司与员工签订。</w:t>
            </w:r>
          </w:p>
        </w:tc>
        <w:tc>
          <w:tcPr>
            <w:tcW w:w="1585" w:type="dxa"/>
            <w:vAlign w:val="top"/>
          </w:tcPr>
          <w:p>
            <w:pPr>
              <w:spacing w:line="360" w:lineRule="auto"/>
              <w:rPr>
                <w:rFonts w:hint="default" w:ascii="Times New Roman" w:hAnsi="Times New Roman" w:eastAsia="宋体" w:cs="Times New Roman"/>
                <w:color w:val="0000FF"/>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980"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成文信息</w:t>
            </w:r>
          </w:p>
        </w:tc>
        <w:tc>
          <w:tcPr>
            <w:tcW w:w="1140" w:type="dxa"/>
            <w:vAlign w:val="top"/>
          </w:tcPr>
          <w:p>
            <w:pPr>
              <w:spacing w:line="360" w:lineRule="auto"/>
              <w:rPr>
                <w:rFonts w:hint="default" w:ascii="宋体" w:hAnsi="宋体" w:eastAsia="宋体" w:cs="Arial"/>
                <w:color w:val="auto"/>
                <w:spacing w:val="-6"/>
                <w:kern w:val="2"/>
                <w:sz w:val="21"/>
                <w:szCs w:val="21"/>
                <w:lang w:val="en-US" w:eastAsia="zh-CN" w:bidi="ar-SA"/>
              </w:rPr>
            </w:pPr>
            <w:r>
              <w:rPr>
                <w:rFonts w:hint="eastAsia" w:ascii="宋体" w:hAnsi="宋体" w:cs="Arial"/>
                <w:color w:val="auto"/>
                <w:spacing w:val="-6"/>
                <w:sz w:val="21"/>
                <w:szCs w:val="21"/>
                <w:lang w:val="en-US" w:eastAsia="zh-CN"/>
              </w:rPr>
              <w:t>QEO:7.5</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策划了公司的管理体系文件，包括：</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管理手册——A/0，2021年01月10日</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程序文件——A/0，2021年01月10日，27个</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管理文件——编制有工艺文件、操作规程等；</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建立有外来文件清单，收集相关标准和法律，包括混凝土外加剂GB 8076-2008、聚羧酸系高性能减水剂JG/T223-2017等9项；</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建立环境、职业健康安全法律法规和其他要求清单，共收集97部。</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文件化管理体系目前基本满足要求。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——在编制体系文件时，对文件进行标识，主要有文件名称/编制部门/批准日期/文件编号等，经查管理手册/程序文件基本符合标准要求。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管理体系文件经过总经理审批实施发布，经评审，目前文件和目录均适用。符合要求。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——编制《文件控制程序》，内容符合基本标准要求。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成文信息由各部门负责保存，以便查阅。</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经查，基本符合标准要求。</w:t>
            </w:r>
          </w:p>
        </w:tc>
        <w:tc>
          <w:tcPr>
            <w:tcW w:w="1585" w:type="dxa"/>
            <w:vAlign w:val="top"/>
          </w:tcPr>
          <w:p>
            <w:pPr>
              <w:spacing w:line="360" w:lineRule="auto"/>
              <w:rPr>
                <w:rFonts w:hint="eastAsia" w:ascii="Times New Roman" w:hAnsi="Times New Roman" w:eastAsia="宋体" w:cs="Times New Roman"/>
                <w:color w:val="0000FF"/>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Align w:val="top"/>
          </w:tcPr>
          <w:p>
            <w:pPr>
              <w:spacing w:line="360" w:lineRule="auto"/>
              <w:rPr>
                <w:rFonts w:hint="eastAsia" w:ascii="宋体" w:hAnsi="宋体" w:cs="Arial"/>
                <w:spacing w:val="-6"/>
                <w:sz w:val="21"/>
                <w:szCs w:val="21"/>
                <w:u w:val="none"/>
              </w:rPr>
            </w:pPr>
            <w:r>
              <w:rPr>
                <w:rFonts w:hint="eastAsia" w:ascii="宋体" w:hAnsi="宋体" w:cs="Arial"/>
                <w:spacing w:val="-6"/>
                <w:sz w:val="21"/>
                <w:szCs w:val="21"/>
                <w:u w:val="none"/>
              </w:rPr>
              <w:t>监视、测量、分析和评价总则</w:t>
            </w:r>
          </w:p>
          <w:p>
            <w:pPr>
              <w:spacing w:line="360" w:lineRule="auto"/>
              <w:rPr>
                <w:rFonts w:hint="eastAsia"/>
                <w:color w:val="auto"/>
                <w:lang w:val="en-US" w:eastAsia="zh-CN"/>
              </w:rPr>
            </w:pPr>
            <w:r>
              <w:rPr>
                <w:rFonts w:hint="eastAsia" w:ascii="宋体" w:hAnsi="宋体" w:cs="Arial"/>
                <w:spacing w:val="-6"/>
                <w:sz w:val="21"/>
                <w:szCs w:val="21"/>
                <w:u w:val="none"/>
              </w:rPr>
              <w:t>分析与评价</w:t>
            </w:r>
          </w:p>
        </w:tc>
        <w:tc>
          <w:tcPr>
            <w:tcW w:w="1140" w:type="dxa"/>
            <w:vAlign w:val="top"/>
          </w:tcPr>
          <w:p>
            <w:pPr>
              <w:spacing w:line="360" w:lineRule="auto"/>
              <w:jc w:val="center"/>
              <w:rPr>
                <w:rFonts w:hint="eastAsia" w:ascii="宋体" w:hAnsi="宋体" w:cs="Arial"/>
                <w:color w:val="auto"/>
                <w:spacing w:val="-6"/>
                <w:kern w:val="2"/>
                <w:sz w:val="21"/>
                <w:szCs w:val="21"/>
                <w:lang w:val="en-US" w:eastAsia="zh-CN" w:bidi="ar-SA"/>
              </w:rPr>
            </w:pPr>
            <w:r>
              <w:rPr>
                <w:rFonts w:hint="eastAsia" w:ascii="宋体" w:hAnsi="宋体" w:cs="Arial"/>
                <w:color w:val="auto"/>
                <w:spacing w:val="-6"/>
                <w:kern w:val="2"/>
                <w:sz w:val="21"/>
                <w:szCs w:val="21"/>
                <w:lang w:val="en-US" w:eastAsia="zh-CN" w:bidi="ar-SA"/>
              </w:rPr>
              <w:t>QEO:9.1.1</w:t>
            </w:r>
          </w:p>
          <w:p>
            <w:pPr>
              <w:spacing w:line="360" w:lineRule="auto"/>
              <w:jc w:val="center"/>
              <w:rPr>
                <w:rFonts w:hint="default"/>
                <w:lang w:val="en-US" w:eastAsia="zh-CN"/>
              </w:rPr>
            </w:pPr>
            <w:r>
              <w:rPr>
                <w:rFonts w:hint="eastAsia" w:ascii="宋体" w:hAnsi="宋体" w:cs="Arial"/>
                <w:color w:val="auto"/>
                <w:spacing w:val="-6"/>
                <w:kern w:val="2"/>
                <w:sz w:val="21"/>
                <w:szCs w:val="21"/>
                <w:lang w:val="en-US" w:eastAsia="zh-CN" w:bidi="ar-SA"/>
              </w:rPr>
              <w:t>Q:9.1.3</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公司在管理手册中明确了监视测量的要求，</w:t>
            </w:r>
            <w:r>
              <w:rPr>
                <w:rFonts w:hint="default"/>
                <w:color w:val="auto"/>
                <w:szCs w:val="22"/>
                <w:highlight w:val="none"/>
                <w:lang w:val="en-US" w:eastAsia="zh-CN"/>
              </w:rPr>
              <w:t>制定了《顾客满意度测量控制程序》、《管理评审控制程序》和《内部审核控制程序》等程序。</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行政部保留“目标考核表”，对各部门完成目标情况进行监测；</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查见“月度销售统计”，抽见2021.4-6；每月记录成品销售数量、时间，以及原材料消耗情况，并进行汇总分析；</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查见“环境安全运行检查记录”，每月一次，抽见2021年1-5月，对固废集中收集、安全用电、消防安全、持证上岗等情况进行检查，均正常。</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提供三废“项目竣工环境保护验收报告”，对废气、噪声的排放浓度进行了检测；江西省南环检测技术有限公司出具，2020.9；</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检测结果：</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有组织废气：《大气污染物综合排放标准》(GB 16297-1996)表2二级标准限值，符合；</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厂界噪声：《工业企业厂界环境噪声排放标准》(GB12348-2008)表1中3类标准，符合；</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bookmarkStart w:id="0" w:name="_GoBack"/>
            <w:r>
              <w:rPr>
                <w:rFonts w:hint="eastAsia"/>
                <w:color w:val="auto"/>
                <w:szCs w:val="22"/>
                <w:highlight w:val="none"/>
                <w:lang w:val="en-US" w:eastAsia="zh-CN"/>
              </w:rPr>
              <w:t>提供了“健康体检报告”，2021.5.21，赣南医学院第一附属医院出具，抽见：</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刘XX、欧阳XX等，体检结果正常；</w:t>
            </w:r>
            <w:bookmarkEnd w:id="0"/>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对目标完成、顾客满意等进行统计分析，保留分析结果。</w:t>
            </w:r>
          </w:p>
        </w:tc>
        <w:tc>
          <w:tcPr>
            <w:tcW w:w="1585" w:type="dxa"/>
            <w:vAlign w:val="top"/>
          </w:tcPr>
          <w:p>
            <w:pPr>
              <w:spacing w:line="360" w:lineRule="auto"/>
              <w:rPr>
                <w:rFonts w:hint="default"/>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80" w:type="dxa"/>
            <w:vAlign w:val="top"/>
          </w:tcPr>
          <w:p>
            <w:pPr>
              <w:spacing w:line="360" w:lineRule="auto"/>
              <w:rPr>
                <w:rFonts w:ascii="Times New Roman" w:hAnsi="Times New Roman" w:eastAsia="宋体" w:cs="Times New Roman"/>
                <w:color w:val="0000FF"/>
                <w:kern w:val="2"/>
                <w:sz w:val="21"/>
                <w:lang w:val="en-US" w:eastAsia="zh-CN" w:bidi="ar-SA"/>
              </w:rPr>
            </w:pPr>
            <w:r>
              <w:rPr>
                <w:rFonts w:hint="eastAsia"/>
                <w:color w:val="auto"/>
              </w:rPr>
              <w:t>内部审核</w:t>
            </w:r>
          </w:p>
        </w:tc>
        <w:tc>
          <w:tcPr>
            <w:tcW w:w="1140" w:type="dxa"/>
            <w:vAlign w:val="top"/>
          </w:tcPr>
          <w:p>
            <w:pPr>
              <w:spacing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cs="Arial"/>
                <w:color w:val="auto"/>
                <w:spacing w:val="-6"/>
                <w:kern w:val="2"/>
                <w:sz w:val="21"/>
                <w:szCs w:val="21"/>
                <w:lang w:val="en-US" w:eastAsia="zh-CN" w:bidi="ar-SA"/>
              </w:rPr>
              <w:t>Q</w:t>
            </w:r>
            <w:r>
              <w:rPr>
                <w:rFonts w:hint="eastAsia" w:ascii="宋体" w:hAnsi="宋体" w:eastAsia="宋体" w:cs="Arial"/>
                <w:color w:val="auto"/>
                <w:spacing w:val="-6"/>
                <w:kern w:val="2"/>
                <w:sz w:val="21"/>
                <w:szCs w:val="21"/>
                <w:lang w:val="en-US" w:eastAsia="zh-CN" w:bidi="ar-SA"/>
              </w:rPr>
              <w:t>EO:9.2</w:t>
            </w:r>
          </w:p>
          <w:p>
            <w:pPr>
              <w:pStyle w:val="3"/>
              <w:spacing w:line="360" w:lineRule="auto"/>
              <w:ind w:left="0" w:leftChars="0" w:firstLine="0" w:firstLineChars="0"/>
              <w:jc w:val="center"/>
              <w:rPr>
                <w:rFonts w:hint="default"/>
                <w:lang w:val="en-US" w:eastAsia="zh-CN"/>
              </w:rPr>
            </w:pPr>
            <w:r>
              <w:rPr>
                <w:rFonts w:hint="eastAsia" w:ascii="宋体" w:hAnsi="宋体" w:cs="Arial"/>
                <w:color w:val="auto"/>
                <w:spacing w:val="-6"/>
                <w:sz w:val="21"/>
                <w:szCs w:val="21"/>
                <w:lang w:val="en-US" w:eastAsia="zh-CN"/>
              </w:rPr>
              <w:t>10.2</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制定有《内部审核程序》，有效文件；</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2021年4月26-27日，对各部门进行了内审，保留了内审计划、内审记录、不符合报告、内审报告；内审覆盖了管理体系范围内的活动及标准的要求；</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内审结论为：三体系运行基本良好，运行达到一定的效果，基本符合标准的要求，但仍存在不足，各部门应举一反三，对类似问题予以整改。保持《不符合、纠正和预防措施控制程序》、《事故调查处理控制程序》，有效文件；</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本次内审开具不符合报告1份，进行了不合格原因分析，制定并实施了纠正措施，已整改，进行了效果验证。</w:t>
            </w:r>
          </w:p>
        </w:tc>
        <w:tc>
          <w:tcPr>
            <w:tcW w:w="1585" w:type="dxa"/>
            <w:vAlign w:val="top"/>
          </w:tcPr>
          <w:p>
            <w:pPr>
              <w:spacing w:line="36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pPr>
              <w:jc w:val="left"/>
              <w:rPr>
                <w:rFonts w:hint="eastAsia" w:ascii="Times New Roman" w:hAnsi="Times New Roman" w:eastAsia="宋体" w:cs="Times New Roman"/>
                <w:color w:val="auto"/>
                <w:kern w:val="2"/>
                <w:sz w:val="21"/>
                <w:highlight w:val="none"/>
                <w:lang w:val="en-US" w:eastAsia="zh-CN" w:bidi="ar-SA"/>
              </w:rPr>
            </w:pPr>
            <w:r>
              <w:rPr>
                <w:rFonts w:hAnsi="宋体"/>
                <w:szCs w:val="21"/>
                <w:highlight w:val="none"/>
              </w:rPr>
              <w:t>应急准备和响应</w:t>
            </w:r>
          </w:p>
        </w:tc>
        <w:tc>
          <w:tcPr>
            <w:tcW w:w="1140" w:type="dxa"/>
            <w:vAlign w:val="center"/>
          </w:tcPr>
          <w:p>
            <w:pPr>
              <w:spacing w:line="360" w:lineRule="auto"/>
              <w:jc w:val="center"/>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E</w:t>
            </w:r>
            <w:r>
              <w:rPr>
                <w:rFonts w:hint="eastAsia" w:ascii="宋体" w:hAnsi="宋体" w:cs="Arial"/>
                <w:color w:val="auto"/>
                <w:spacing w:val="-6"/>
                <w:kern w:val="2"/>
                <w:sz w:val="21"/>
                <w:szCs w:val="21"/>
                <w:highlight w:val="none"/>
                <w:lang w:val="en-US" w:eastAsia="zh-CN" w:bidi="ar-SA"/>
              </w:rPr>
              <w:t>O</w:t>
            </w:r>
            <w:r>
              <w:rPr>
                <w:rFonts w:hint="eastAsia" w:ascii="宋体" w:hAnsi="宋体" w:eastAsia="宋体" w:cs="Arial"/>
                <w:color w:val="auto"/>
                <w:spacing w:val="-6"/>
                <w:kern w:val="2"/>
                <w:sz w:val="21"/>
                <w:szCs w:val="21"/>
                <w:highlight w:val="none"/>
                <w:lang w:val="en-US" w:eastAsia="zh-CN" w:bidi="ar-SA"/>
              </w:rPr>
              <w:t>：8.2</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保持有：触电应急预案、火灾应急预案、化学品泄漏应急预案；基本符合；</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保留“应急救援预案演练计划”，见对上述预案策划了演练；</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查见“环境安全运行检查记录”，对应急物资有准备和必要的检查；</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查见“应急预案演练记录”，显示2021.3.12，公司组织进行了火灾应急救援预案演练；明确了演练时间、地点、目的、演练总结等内容；</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2"/>
                <w:highlight w:val="none"/>
                <w:lang w:val="en-US" w:eastAsia="zh-CN"/>
              </w:rPr>
            </w:pPr>
            <w:r>
              <w:rPr>
                <w:rFonts w:hint="eastAsia"/>
                <w:color w:val="auto"/>
                <w:szCs w:val="22"/>
                <w:highlight w:val="none"/>
                <w:lang w:val="en-US" w:eastAsia="zh-CN"/>
              </w:rPr>
              <w:t>总结：存在问题，个别人员认为是搞演练存在无所谓的思想，很不严肃。</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下步工作：学习贯彻《消防法》，认真抓好职工安全教育培训，开展技能练兵，提高业务素质。</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Cs w:val="22"/>
                <w:highlight w:val="none"/>
                <w:lang w:val="en-US" w:eastAsia="zh-CN"/>
              </w:rPr>
            </w:pPr>
            <w:r>
              <w:rPr>
                <w:rFonts w:hint="eastAsia"/>
                <w:color w:val="auto"/>
                <w:szCs w:val="22"/>
                <w:highlight w:val="none"/>
                <w:lang w:val="en-US" w:eastAsia="zh-CN"/>
              </w:rPr>
              <w:t>另查见记录，2021年1月20日，公司组织进行了火灾应急演练、</w:t>
            </w:r>
            <w:r>
              <w:rPr>
                <w:rFonts w:hint="eastAsia"/>
                <w:sz w:val="22"/>
                <w:szCs w:val="22"/>
                <w:lang w:val="en-US" w:eastAsia="zh-CN"/>
              </w:rPr>
              <w:t>2021年5月22日</w:t>
            </w:r>
            <w:r>
              <w:rPr>
                <w:rFonts w:hint="eastAsia"/>
                <w:color w:val="auto"/>
                <w:szCs w:val="22"/>
                <w:highlight w:val="none"/>
                <w:lang w:val="en-US" w:eastAsia="zh-CN"/>
              </w:rPr>
              <w:t>进行了化学品泄漏应急演练；同上。</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lang w:val="en-US" w:eastAsia="zh-CN"/>
              </w:rPr>
              <w:t>Y</w:t>
            </w:r>
          </w:p>
        </w:tc>
      </w:tr>
    </w:tbl>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502B0"/>
    <w:rsid w:val="0A75738E"/>
    <w:rsid w:val="0E253FB5"/>
    <w:rsid w:val="16803A30"/>
    <w:rsid w:val="22424490"/>
    <w:rsid w:val="255F40BC"/>
    <w:rsid w:val="25CE1ED4"/>
    <w:rsid w:val="285D62E1"/>
    <w:rsid w:val="2A524930"/>
    <w:rsid w:val="2B3061A8"/>
    <w:rsid w:val="30D639C8"/>
    <w:rsid w:val="37AB2DC7"/>
    <w:rsid w:val="3FB3442B"/>
    <w:rsid w:val="41495ED3"/>
    <w:rsid w:val="4ACF0E85"/>
    <w:rsid w:val="51C36364"/>
    <w:rsid w:val="5ABE23A9"/>
    <w:rsid w:val="61BE4A1B"/>
    <w:rsid w:val="623B68EB"/>
    <w:rsid w:val="62525022"/>
    <w:rsid w:val="64647F70"/>
    <w:rsid w:val="65F814BB"/>
    <w:rsid w:val="68DA78C4"/>
    <w:rsid w:val="6952544E"/>
    <w:rsid w:val="6D40452B"/>
    <w:rsid w:val="718D2DB5"/>
    <w:rsid w:val="728F3F70"/>
    <w:rsid w:val="74592DE0"/>
    <w:rsid w:val="79A374AF"/>
    <w:rsid w:val="7A7E6F3E"/>
    <w:rsid w:val="7BAB2316"/>
    <w:rsid w:val="7BFB58B8"/>
    <w:rsid w:val="7E9F3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2021-07-03T05:03:16Z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