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sz w:val="24"/>
                <w:szCs w:val="24"/>
                <w:lang w:val="en-US" w:eastAsia="zh-CN"/>
              </w:rPr>
            </w:pPr>
            <w:r>
              <w:rPr>
                <w:rFonts w:hint="eastAsia"/>
                <w:sz w:val="24"/>
                <w:szCs w:val="24"/>
              </w:rPr>
              <w:t>受审核部门：</w:t>
            </w:r>
            <w:r>
              <w:rPr>
                <w:rFonts w:hint="eastAsia"/>
                <w:szCs w:val="22"/>
                <w:vertAlign w:val="baseline"/>
                <w:lang w:val="en-US" w:eastAsia="zh-CN"/>
              </w:rPr>
              <w:t>高层、</w:t>
            </w:r>
            <w:r>
              <w:rPr>
                <w:rFonts w:hint="eastAsia" w:ascii="宋体" w:hAnsi="宋体" w:cs="宋体"/>
                <w:sz w:val="21"/>
                <w:szCs w:val="21"/>
                <w:lang w:val="en-US" w:eastAsia="zh-CN"/>
              </w:rPr>
              <w:t>行政部、生产部、业务部、技术部</w:t>
            </w:r>
            <w:r>
              <w:rPr>
                <w:rFonts w:hint="eastAsia"/>
                <w:sz w:val="24"/>
                <w:szCs w:val="24"/>
                <w:lang w:val="en-US" w:eastAsia="zh-CN"/>
              </w:rPr>
              <w:t xml:space="preserve">  </w:t>
            </w:r>
          </w:p>
          <w:p>
            <w:pPr>
              <w:rPr>
                <w:rFonts w:hint="default" w:eastAsia="宋体"/>
                <w:sz w:val="24"/>
                <w:szCs w:val="24"/>
                <w:lang w:val="en-US" w:eastAsia="zh-CN"/>
              </w:rPr>
            </w:pPr>
            <w:r>
              <w:rPr>
                <w:rFonts w:hint="eastAsia"/>
                <w:sz w:val="24"/>
                <w:szCs w:val="24"/>
              </w:rPr>
              <w:t>主管领导/陪同人员</w:t>
            </w:r>
            <w:r>
              <w:rPr>
                <w:rFonts w:hint="eastAsia"/>
                <w:sz w:val="24"/>
                <w:szCs w:val="24"/>
                <w:lang w:eastAsia="zh-CN"/>
              </w:rPr>
              <w:t>：</w:t>
            </w:r>
            <w:r>
              <w:rPr>
                <w:rFonts w:hint="eastAsia" w:ascii="Times New Roman" w:hAnsi="Times New Roman" w:eastAsia="宋体" w:cs="Times New Roman"/>
                <w:szCs w:val="22"/>
                <w:vertAlign w:val="baseline"/>
                <w:lang w:val="en-US" w:eastAsia="zh-CN"/>
              </w:rPr>
              <w:t>孙壮凯</w:t>
            </w:r>
            <w:r>
              <w:rPr>
                <w:rFonts w:hint="eastAsia" w:cs="Times New Roman"/>
                <w:szCs w:val="22"/>
                <w:vertAlign w:val="baseline"/>
                <w:lang w:val="en-US" w:eastAsia="zh-CN"/>
              </w:rPr>
              <w:t>、</w:t>
            </w:r>
            <w:r>
              <w:rPr>
                <w:rFonts w:hint="eastAsia" w:ascii="Times New Roman" w:hAnsi="Times New Roman" w:eastAsia="宋体" w:cs="Times New Roman"/>
                <w:szCs w:val="22"/>
                <w:vertAlign w:val="baseline"/>
                <w:lang w:val="en-US" w:eastAsia="zh-CN"/>
              </w:rPr>
              <w:t>吴明华</w:t>
            </w:r>
            <w:r>
              <w:rPr>
                <w:rFonts w:hint="eastAsia" w:cs="Times New Roman"/>
                <w:szCs w:val="22"/>
                <w:vertAlign w:val="baseline"/>
                <w:lang w:val="en-US" w:eastAsia="zh-CN"/>
              </w:rPr>
              <w:t>、</w:t>
            </w:r>
            <w:r>
              <w:rPr>
                <w:rFonts w:hint="eastAsia" w:ascii="Times New Roman" w:hAnsi="Times New Roman" w:eastAsia="宋体" w:cs="Times New Roman"/>
                <w:szCs w:val="22"/>
                <w:vertAlign w:val="baseline"/>
                <w:lang w:val="en-US" w:eastAsia="zh-CN"/>
              </w:rPr>
              <w:t>欧阳贻莲</w:t>
            </w:r>
            <w:r>
              <w:rPr>
                <w:rFonts w:hint="eastAsia" w:cs="Times New Roman"/>
                <w:szCs w:val="22"/>
                <w:vertAlign w:val="baseline"/>
                <w:lang w:val="en-US" w:eastAsia="zh-CN"/>
              </w:rPr>
              <w:t>、</w:t>
            </w:r>
            <w:r>
              <w:rPr>
                <w:rFonts w:hint="eastAsia" w:ascii="Times New Roman" w:hAnsi="Times New Roman" w:eastAsia="宋体" w:cs="Times New Roman"/>
                <w:szCs w:val="22"/>
                <w:vertAlign w:val="baseline"/>
                <w:lang w:val="en-US" w:eastAsia="zh-CN"/>
              </w:rPr>
              <w:t>吴硕涛</w:t>
            </w:r>
            <w:r>
              <w:rPr>
                <w:rFonts w:hint="eastAsia" w:cs="Times New Roman"/>
                <w:szCs w:val="22"/>
                <w:vertAlign w:val="baseline"/>
                <w:lang w:val="en-US" w:eastAsia="zh-CN"/>
              </w:rPr>
              <w:t>、</w:t>
            </w:r>
            <w:r>
              <w:rPr>
                <w:rFonts w:hint="eastAsia" w:ascii="Times New Roman" w:hAnsi="Times New Roman" w:eastAsia="宋体" w:cs="Times New Roman"/>
                <w:szCs w:val="22"/>
                <w:vertAlign w:val="baseline"/>
                <w:lang w:val="en-US" w:eastAsia="zh-CN"/>
              </w:rPr>
              <w:t>吴明华</w:t>
            </w:r>
            <w:r>
              <w:rPr>
                <w:rFonts w:hint="eastAsia" w:cs="Times New Roman"/>
                <w:szCs w:val="22"/>
                <w:vertAlign w:val="baseline"/>
                <w:lang w:val="en-US" w:eastAsia="zh-CN"/>
              </w:rPr>
              <w:t>、</w:t>
            </w:r>
            <w:r>
              <w:rPr>
                <w:rFonts w:hint="eastAsia" w:ascii="Times New Roman" w:hAnsi="Times New Roman" w:eastAsia="宋体" w:cs="Times New Roman"/>
                <w:szCs w:val="22"/>
                <w:vertAlign w:val="baseline"/>
                <w:lang w:val="en-US" w:eastAsia="zh-CN"/>
              </w:rPr>
              <w:t>蔡博华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褚敏杰  蒙亭  文波                 </w:t>
            </w:r>
            <w:r>
              <w:rPr>
                <w:rFonts w:hint="eastAsia"/>
                <w:sz w:val="24"/>
                <w:szCs w:val="24"/>
              </w:rPr>
              <w:t>审核时间：</w:t>
            </w:r>
            <w:r>
              <w:rPr>
                <w:rFonts w:hint="eastAsia"/>
                <w:sz w:val="24"/>
                <w:szCs w:val="24"/>
                <w:lang w:val="en-US" w:eastAsia="zh-CN"/>
              </w:rPr>
              <w:t>2021.6.29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审核条款：见计划</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rPr>
                <w:sz w:val="21"/>
                <w:szCs w:val="21"/>
              </w:rPr>
            </w:pPr>
            <w:r>
              <w:rPr>
                <w:rFonts w:hint="eastAsia"/>
                <w:sz w:val="21"/>
                <w:szCs w:val="21"/>
              </w:rPr>
              <w:t>了解受审核方基本概况，资质及部门设置、主管部门。</w:t>
            </w:r>
          </w:p>
          <w:p>
            <w:r>
              <w:rPr>
                <w:rFonts w:hint="eastAsia"/>
                <w:sz w:val="21"/>
                <w:szCs w:val="21"/>
              </w:rPr>
              <w:t>确定认证范围和经营场所</w:t>
            </w:r>
          </w:p>
        </w:tc>
        <w:tc>
          <w:tcPr>
            <w:tcW w:w="960" w:type="dxa"/>
          </w:tcPr>
          <w:p/>
        </w:tc>
        <w:tc>
          <w:tcPr>
            <w:tcW w:w="10004" w:type="dxa"/>
          </w:tcPr>
          <w:p>
            <w:pPr>
              <w:spacing w:line="360" w:lineRule="auto"/>
              <w:ind w:firstLine="420" w:firstLineChars="200"/>
              <w:rPr>
                <w:rFonts w:hint="eastAsia"/>
                <w:szCs w:val="22"/>
                <w:highlight w:val="none"/>
                <w:lang w:val="zh-CN"/>
              </w:rPr>
            </w:pPr>
            <w:r>
              <w:rPr>
                <w:rFonts w:hint="eastAsia"/>
                <w:szCs w:val="22"/>
                <w:highlight w:val="none"/>
                <w:lang w:val="zh-CN"/>
              </w:rPr>
              <w:t>江西百好新型建筑材料有限公司成立于2011年12月，公司注册资金</w:t>
            </w:r>
            <w:r>
              <w:rPr>
                <w:rFonts w:hint="eastAsia"/>
                <w:szCs w:val="22"/>
                <w:highlight w:val="none"/>
                <w:lang w:val="en-US" w:eastAsia="zh-CN"/>
              </w:rPr>
              <w:t>6</w:t>
            </w:r>
            <w:r>
              <w:rPr>
                <w:rFonts w:hint="eastAsia"/>
                <w:szCs w:val="22"/>
                <w:highlight w:val="none"/>
                <w:lang w:val="zh-CN"/>
              </w:rPr>
              <w:t>00万元，</w:t>
            </w:r>
            <w:r>
              <w:rPr>
                <w:rFonts w:hint="eastAsia"/>
                <w:szCs w:val="22"/>
                <w:highlight w:val="none"/>
                <w:lang w:val="en-US" w:eastAsia="zh-CN"/>
              </w:rPr>
              <w:t>办公面积约4千平方米。</w:t>
            </w:r>
          </w:p>
          <w:p>
            <w:pPr>
              <w:spacing w:line="360" w:lineRule="auto"/>
              <w:ind w:firstLine="420" w:firstLineChars="200"/>
              <w:rPr>
                <w:rFonts w:hint="eastAsia"/>
                <w:szCs w:val="22"/>
                <w:highlight w:val="none"/>
                <w:lang w:val="en-US" w:eastAsia="zh-CN"/>
              </w:rPr>
            </w:pPr>
            <w:r>
              <w:rPr>
                <w:rFonts w:hint="eastAsia"/>
                <w:szCs w:val="22"/>
                <w:highlight w:val="none"/>
                <w:lang w:val="zh-CN"/>
              </w:rPr>
              <w:t>注册地位于江西省赣州市赣州开发区金岭路南侧，</w:t>
            </w:r>
            <w:r>
              <w:rPr>
                <w:rFonts w:hint="eastAsia"/>
                <w:szCs w:val="22"/>
                <w:highlight w:val="none"/>
                <w:lang w:val="en-US" w:eastAsia="zh-CN"/>
              </w:rPr>
              <w:t>经营地址与注册地址相同；</w:t>
            </w:r>
          </w:p>
          <w:p>
            <w:pPr>
              <w:spacing w:line="360" w:lineRule="auto"/>
              <w:ind w:firstLine="420" w:firstLineChars="200"/>
              <w:rPr>
                <w:rFonts w:hint="eastAsia"/>
                <w:szCs w:val="22"/>
                <w:highlight w:val="none"/>
                <w:lang w:val="en-US" w:eastAsia="zh-CN"/>
              </w:rPr>
            </w:pPr>
            <w:r>
              <w:rPr>
                <w:rFonts w:hint="eastAsia"/>
                <w:szCs w:val="22"/>
                <w:highlight w:val="none"/>
                <w:lang w:val="zh-CN"/>
              </w:rPr>
              <w:t>主要产品经有：</w:t>
            </w:r>
            <w:r>
              <w:rPr>
                <w:rFonts w:hint="eastAsia"/>
                <w:szCs w:val="22"/>
                <w:highlight w:val="none"/>
                <w:lang w:val="en-US" w:eastAsia="zh-CN"/>
              </w:rPr>
              <w:t>建筑添加剂、新型墙体材料生产销售</w:t>
            </w:r>
            <w:r>
              <w:rPr>
                <w:rFonts w:hint="eastAsia"/>
                <w:szCs w:val="22"/>
                <w:highlight w:val="none"/>
                <w:lang w:val="zh-CN"/>
              </w:rPr>
              <w:t>等，</w:t>
            </w:r>
            <w:r>
              <w:rPr>
                <w:rFonts w:hint="eastAsia"/>
                <w:szCs w:val="22"/>
                <w:highlight w:val="none"/>
                <w:lang w:val="en-US" w:eastAsia="zh-CN"/>
              </w:rPr>
              <w:t>覆盖了认证范围：</w:t>
            </w:r>
          </w:p>
          <w:p>
            <w:pPr>
              <w:spacing w:line="360" w:lineRule="auto"/>
              <w:ind w:firstLine="420" w:firstLineChars="200"/>
              <w:rPr>
                <w:rFonts w:hint="default"/>
                <w:b w:val="0"/>
                <w:bCs w:val="0"/>
                <w:lang w:val="en-US" w:eastAsia="zh-CN"/>
              </w:rPr>
            </w:pPr>
            <w:r>
              <w:rPr>
                <w:rFonts w:hint="default"/>
                <w:b w:val="0"/>
                <w:bCs w:val="0"/>
                <w:lang w:val="en-US" w:eastAsia="zh-CN"/>
              </w:rPr>
              <w:t>Q：建筑添加剂（减水剂）的生产</w:t>
            </w:r>
          </w:p>
          <w:p>
            <w:pPr>
              <w:spacing w:line="360" w:lineRule="auto"/>
              <w:ind w:firstLine="420" w:firstLineChars="200"/>
              <w:rPr>
                <w:rFonts w:hint="default"/>
                <w:b w:val="0"/>
                <w:bCs w:val="0"/>
                <w:lang w:val="en-US" w:eastAsia="zh-CN"/>
              </w:rPr>
            </w:pPr>
            <w:r>
              <w:rPr>
                <w:rFonts w:hint="default"/>
                <w:b w:val="0"/>
                <w:bCs w:val="0"/>
                <w:lang w:val="en-US" w:eastAsia="zh-CN"/>
              </w:rPr>
              <w:t>O：建筑添加剂（减水剂）的生产所涉及场所的相关职业健康安全管理活动</w:t>
            </w:r>
          </w:p>
          <w:p>
            <w:pPr>
              <w:spacing w:line="360" w:lineRule="auto"/>
              <w:ind w:firstLine="420" w:firstLineChars="200"/>
              <w:rPr>
                <w:rFonts w:hint="default"/>
                <w:b w:val="0"/>
                <w:bCs w:val="0"/>
                <w:lang w:val="en-US" w:eastAsia="zh-CN"/>
              </w:rPr>
            </w:pPr>
            <w:r>
              <w:rPr>
                <w:rFonts w:hint="default"/>
                <w:b w:val="0"/>
                <w:bCs w:val="0"/>
                <w:lang w:val="en-US" w:eastAsia="zh-CN"/>
              </w:rPr>
              <w:t xml:space="preserve">E：建筑添加剂（减水剂）的生产所涉及场所的相关环境管理活动 </w:t>
            </w:r>
          </w:p>
          <w:p>
            <w:pPr>
              <w:spacing w:line="360" w:lineRule="auto"/>
              <w:ind w:firstLine="420" w:firstLineChars="200"/>
              <w:rPr>
                <w:rFonts w:hint="eastAsia"/>
                <w:szCs w:val="22"/>
                <w:highlight w:val="none"/>
                <w:lang w:val="zh-CN"/>
              </w:rPr>
            </w:pPr>
            <w:r>
              <w:rPr>
                <w:rFonts w:hint="eastAsia"/>
                <w:szCs w:val="22"/>
                <w:highlight w:val="none"/>
                <w:lang w:val="zh-CN"/>
              </w:rPr>
              <w:t>公司现有员工15人，</w:t>
            </w:r>
            <w:r>
              <w:rPr>
                <w:rFonts w:hint="eastAsia"/>
                <w:szCs w:val="22"/>
                <w:highlight w:val="none"/>
                <w:lang w:val="en-US" w:eastAsia="zh-CN"/>
              </w:rPr>
              <w:t>管理人员、技术人员、特种作业人员持证上岗</w:t>
            </w:r>
            <w:r>
              <w:rPr>
                <w:rFonts w:hint="eastAsia"/>
                <w:szCs w:val="22"/>
                <w:highlight w:val="none"/>
                <w:lang w:val="zh-CN"/>
              </w:rPr>
              <w:t>；</w:t>
            </w:r>
          </w:p>
          <w:p>
            <w:pPr>
              <w:spacing w:line="360" w:lineRule="auto"/>
              <w:ind w:firstLine="420" w:firstLineChars="200"/>
              <w:rPr>
                <w:rFonts w:hint="eastAsia"/>
                <w:szCs w:val="22"/>
                <w:highlight w:val="none"/>
                <w:lang w:val="zh-CN"/>
              </w:rPr>
            </w:pPr>
            <w:r>
              <w:rPr>
                <w:rFonts w:hint="eastAsia"/>
                <w:szCs w:val="22"/>
                <w:highlight w:val="none"/>
                <w:lang w:val="zh-CN"/>
              </w:rPr>
              <w:t>主要设备有：</w:t>
            </w:r>
            <w:r>
              <w:rPr>
                <w:rFonts w:hint="eastAsia"/>
                <w:szCs w:val="22"/>
                <w:highlight w:val="none"/>
                <w:lang w:val="en-US" w:eastAsia="zh-CN"/>
              </w:rPr>
              <w:t>钢丝绳电动葫芦、电动单梁起重机、锅炉、不锈钢反应釜等；</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主要检测设备有：电子台秤、天平秤等；</w:t>
            </w:r>
          </w:p>
          <w:p>
            <w:pPr>
              <w:spacing w:line="360" w:lineRule="auto"/>
              <w:ind w:firstLine="420" w:firstLineChars="200"/>
              <w:rPr>
                <w:rFonts w:hint="default" w:eastAsia="宋体"/>
                <w:lang w:val="en-US" w:eastAsia="zh-CN"/>
              </w:rPr>
            </w:pPr>
            <w:r>
              <w:rPr>
                <w:rFonts w:hint="eastAsia"/>
                <w:szCs w:val="22"/>
                <w:highlight w:val="none"/>
                <w:lang w:val="en-US" w:eastAsia="zh-CN"/>
              </w:rPr>
              <w:t>主要环保、安全设备设施有：集气罩、抽排装置、垃圾桶、灭火器等。</w:t>
            </w:r>
          </w:p>
          <w:p>
            <w:pPr>
              <w:spacing w:line="360" w:lineRule="auto"/>
              <w:ind w:firstLine="420" w:firstLineChars="200"/>
              <w:rPr>
                <w:rFonts w:hint="eastAsia"/>
                <w:highlight w:val="none"/>
              </w:rPr>
            </w:pPr>
            <w:r>
              <w:rPr>
                <w:rFonts w:hint="eastAsia"/>
                <w:highlight w:val="none"/>
              </w:rPr>
              <w:t>公司设置有</w:t>
            </w:r>
            <w:r>
              <w:rPr>
                <w:rFonts w:hint="eastAsia" w:ascii="宋体" w:hAnsi="宋体" w:cs="宋体"/>
                <w:sz w:val="21"/>
                <w:szCs w:val="21"/>
                <w:lang w:val="en-US" w:eastAsia="zh-CN"/>
              </w:rPr>
              <w:t>行政部、生产部、业务部、技术部</w:t>
            </w:r>
            <w:r>
              <w:rPr>
                <w:rFonts w:hint="eastAsia"/>
                <w:highlight w:val="none"/>
              </w:rPr>
              <w:t>。</w:t>
            </w:r>
          </w:p>
          <w:p>
            <w:pPr>
              <w:spacing w:line="360" w:lineRule="auto"/>
              <w:ind w:firstLine="420" w:firstLineChars="200"/>
              <w:rPr>
                <w:rFonts w:hint="eastAsia"/>
                <w:highlight w:val="none"/>
              </w:rPr>
            </w:pPr>
            <w:r>
              <w:rPr>
                <w:rFonts w:hint="eastAsia"/>
                <w:highlight w:val="none"/>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eastAsia"/>
                <w:highlight w:val="none"/>
              </w:rPr>
            </w:pPr>
            <w:r>
              <w:rPr>
                <w:rFonts w:hint="eastAsia"/>
                <w:highlight w:val="none"/>
              </w:rPr>
              <w:t>外部因素——国际经济政治形势、</w:t>
            </w:r>
            <w:r>
              <w:rPr>
                <w:rFonts w:hint="eastAsia"/>
                <w:highlight w:val="none"/>
                <w:lang w:val="en-US" w:eastAsia="zh-CN"/>
              </w:rPr>
              <w:t>国家政策</w:t>
            </w:r>
            <w:r>
              <w:rPr>
                <w:rFonts w:hint="eastAsia"/>
                <w:highlight w:val="none"/>
              </w:rPr>
              <w:t>变动、竞争对手、客户需求的变化、新技术的采用等；</w:t>
            </w:r>
          </w:p>
          <w:p>
            <w:pPr>
              <w:spacing w:line="360" w:lineRule="auto"/>
              <w:ind w:firstLine="420" w:firstLineChars="200"/>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公司文化、内部管理机制的建立、人员稳定性、员工年龄、经验等；</w:t>
            </w:r>
          </w:p>
          <w:p>
            <w:pPr>
              <w:spacing w:line="360" w:lineRule="auto"/>
              <w:ind w:firstLine="420" w:firstLineChars="200"/>
              <w:rPr>
                <w:rFonts w:hint="eastAsia"/>
                <w:highlight w:val="none"/>
              </w:rPr>
            </w:pPr>
            <w:r>
              <w:rPr>
                <w:rFonts w:hint="eastAsia"/>
                <w:highlight w:val="none"/>
              </w:rPr>
              <w:t>这些因素包括了需要考虑的正面和负面因素或条件。</w:t>
            </w:r>
          </w:p>
          <w:p>
            <w:pPr>
              <w:spacing w:line="360" w:lineRule="auto"/>
              <w:ind w:firstLine="420" w:firstLineChars="200"/>
            </w:pPr>
            <w:r>
              <w:rPr>
                <w:rFonts w:hint="eastAsia"/>
                <w:highlight w:val="none"/>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理解相关方的需求和期望</w:t>
            </w:r>
          </w:p>
        </w:tc>
        <w:tc>
          <w:tcPr>
            <w:tcW w:w="960" w:type="dxa"/>
          </w:tcPr>
          <w:p/>
        </w:tc>
        <w:tc>
          <w:tcPr>
            <w:tcW w:w="10004" w:type="dxa"/>
          </w:tcPr>
          <w:p>
            <w:pPr>
              <w:spacing w:line="360" w:lineRule="auto"/>
              <w:ind w:firstLine="420" w:firstLineChars="200"/>
              <w:rPr>
                <w:rFonts w:hint="eastAsia"/>
                <w:szCs w:val="22"/>
                <w:highlight w:val="none"/>
                <w:lang w:val="en-US" w:eastAsia="zh-CN"/>
              </w:rPr>
            </w:pPr>
            <w:r>
              <w:rPr>
                <w:rFonts w:hint="eastAsia"/>
                <w:szCs w:val="22"/>
                <w:highlight w:val="none"/>
                <w:lang w:val="en-US" w:eastAsia="zh-CN"/>
              </w:rPr>
              <w:t>组织的相关方主要包括顾客、员工、竞争对手、供方、股东、公司周边居民等。相关方主要期望：价格、待遇、公平性、安全性、合同协议、行业规范标准等。识别方法：调查问卷、自我评审、水平对比等。</w:t>
            </w:r>
          </w:p>
          <w:p>
            <w:pPr>
              <w:spacing w:line="360" w:lineRule="auto"/>
              <w:ind w:firstLine="396" w:firstLineChars="200"/>
            </w:pPr>
            <w:r>
              <w:rPr>
                <w:rFonts w:hint="eastAsia" w:ascii="宋体" w:hAnsi="宋体" w:cs="Arial"/>
                <w:spacing w:val="-6"/>
                <w:sz w:val="21"/>
                <w:szCs w:val="21"/>
                <w:lang w:val="en-US" w:eastAsia="zh-CN"/>
              </w:rPr>
              <w:t>验证方法：顾客满意程度调查、供方调查评定、客户投诉等。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rPr>
            </w:pPr>
            <w:r>
              <w:rPr>
                <w:rFonts w:hint="eastAsia"/>
                <w:sz w:val="21"/>
                <w:szCs w:val="21"/>
                <w:lang w:val="en-US" w:eastAsia="zh-CN"/>
              </w:rPr>
              <w:t>了解公司方针和目标及措施策划</w:t>
            </w:r>
          </w:p>
        </w:tc>
        <w:tc>
          <w:tcPr>
            <w:tcW w:w="960" w:type="dxa"/>
          </w:tcPr>
          <w:p/>
        </w:tc>
        <w:tc>
          <w:tcPr>
            <w:tcW w:w="10004" w:type="dxa"/>
          </w:tcPr>
          <w:p>
            <w:pPr>
              <w:spacing w:line="360" w:lineRule="auto"/>
              <w:ind w:firstLine="420" w:firstLineChars="200"/>
              <w:rPr>
                <w:rFonts w:hint="eastAsia"/>
              </w:rPr>
            </w:pPr>
            <w:r>
              <w:rPr>
                <w:rFonts w:hint="eastAsia"/>
              </w:rPr>
              <w:t>1.质量环境职业健康安全方针：</w:t>
            </w:r>
          </w:p>
          <w:p>
            <w:pPr>
              <w:spacing w:line="400" w:lineRule="exact"/>
              <w:ind w:firstLine="420" w:firstLineChars="20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用户至上、产品求精、持续改进、质量兴企；</w:t>
            </w:r>
          </w:p>
          <w:p>
            <w:pPr>
              <w:pStyle w:val="3"/>
              <w:ind w:firstLine="420" w:firstLineChars="20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遵纪守法、预防危害、防治污染、持续发展。</w:t>
            </w:r>
          </w:p>
          <w:p>
            <w:pPr>
              <w:pStyle w:val="3"/>
              <w:ind w:firstLine="420" w:firstLineChars="200"/>
              <w:rPr>
                <w:rFonts w:hint="eastAsia"/>
              </w:rPr>
            </w:pPr>
            <w:r>
              <w:rPr>
                <w:rFonts w:hint="eastAsia"/>
              </w:rPr>
              <w:t>方针适宜于公司现状，在管理手册中明确，通过文件发放，使员工获知，适用时提供给相关方。</w:t>
            </w:r>
          </w:p>
          <w:p>
            <w:pPr>
              <w:pStyle w:val="3"/>
              <w:ind w:firstLine="420" w:firstLineChars="200"/>
              <w:rPr>
                <w:rFonts w:hint="eastAsia"/>
              </w:rPr>
            </w:pPr>
            <w:r>
              <w:rPr>
                <w:rFonts w:hint="eastAsia"/>
              </w:rPr>
              <w:t>2.管理目标：</w:t>
            </w:r>
          </w:p>
          <w:p>
            <w:pPr>
              <w:pStyle w:val="3"/>
              <w:ind w:firstLine="420" w:firstLineChars="200"/>
              <w:rPr>
                <w:rFonts w:hint="eastAsia"/>
              </w:rPr>
            </w:pPr>
            <w:r>
              <w:rPr>
                <w:rFonts w:hint="eastAsia"/>
              </w:rPr>
              <w:t>质量目标：</w:t>
            </w:r>
          </w:p>
          <w:p>
            <w:pPr>
              <w:pStyle w:val="3"/>
              <w:ind w:firstLine="840" w:firstLineChars="400"/>
              <w:rPr>
                <w:rFonts w:hint="eastAsia"/>
              </w:rPr>
            </w:pPr>
            <w:r>
              <w:rPr>
                <w:rFonts w:hint="eastAsia"/>
              </w:rPr>
              <w:t>产品出厂合格率100%；</w:t>
            </w:r>
          </w:p>
          <w:p>
            <w:pPr>
              <w:pStyle w:val="3"/>
              <w:ind w:firstLine="840" w:firstLineChars="400"/>
              <w:rPr>
                <w:rFonts w:hint="eastAsia"/>
              </w:rPr>
            </w:pPr>
            <w:r>
              <w:rPr>
                <w:rFonts w:hint="eastAsia"/>
              </w:rPr>
              <w:t>顾客满意度96分以上；</w:t>
            </w:r>
          </w:p>
          <w:p>
            <w:pPr>
              <w:pStyle w:val="3"/>
              <w:ind w:firstLine="420" w:firstLineChars="200"/>
              <w:rPr>
                <w:rFonts w:hint="eastAsia"/>
              </w:rPr>
            </w:pPr>
            <w:r>
              <w:rPr>
                <w:rFonts w:hint="eastAsia"/>
              </w:rPr>
              <w:t>环保安全目标：</w:t>
            </w:r>
          </w:p>
          <w:p>
            <w:pPr>
              <w:pStyle w:val="3"/>
              <w:ind w:firstLine="840" w:firstLineChars="400"/>
              <w:rPr>
                <w:rFonts w:hint="eastAsia"/>
              </w:rPr>
            </w:pPr>
            <w:r>
              <w:rPr>
                <w:rFonts w:hint="eastAsia"/>
              </w:rPr>
              <w:t>固体废弃物分类管理，处理率为100%；</w:t>
            </w:r>
          </w:p>
          <w:p>
            <w:pPr>
              <w:pStyle w:val="3"/>
              <w:ind w:firstLine="840" w:firstLineChars="400"/>
              <w:rPr>
                <w:rFonts w:hint="eastAsia"/>
              </w:rPr>
            </w:pPr>
            <w:r>
              <w:rPr>
                <w:rFonts w:hint="eastAsia"/>
              </w:rPr>
              <w:t>重大火灾事故为0；</w:t>
            </w:r>
          </w:p>
          <w:p>
            <w:pPr>
              <w:pStyle w:val="3"/>
              <w:spacing w:line="360" w:lineRule="auto"/>
              <w:ind w:firstLine="840" w:firstLineChars="400"/>
              <w:rPr>
                <w:rFonts w:hint="eastAsia"/>
              </w:rPr>
            </w:pPr>
            <w:r>
              <w:rPr>
                <w:rFonts w:hint="eastAsia"/>
              </w:rPr>
              <w:t>职业病发病率为0；</w:t>
            </w:r>
          </w:p>
          <w:p>
            <w:pPr>
              <w:pStyle w:val="3"/>
              <w:spacing w:line="360" w:lineRule="auto"/>
              <w:ind w:firstLine="840" w:firstLineChars="400"/>
              <w:rPr>
                <w:rFonts w:hint="eastAsia"/>
                <w:lang w:eastAsia="zh-CN"/>
              </w:rPr>
            </w:pPr>
            <w:r>
              <w:rPr>
                <w:rFonts w:hint="eastAsia"/>
              </w:rPr>
              <w:t>员工重大责任伤亡率为0；</w:t>
            </w:r>
          </w:p>
          <w:p>
            <w:pPr>
              <w:pStyle w:val="3"/>
              <w:spacing w:line="360" w:lineRule="auto"/>
              <w:ind w:firstLine="420" w:firstLineChars="200"/>
              <w:rPr>
                <w:rFonts w:hint="eastAsia"/>
                <w:lang w:val="en-US" w:eastAsia="zh-CN"/>
              </w:rPr>
            </w:pPr>
            <w:r>
              <w:rPr>
                <w:rFonts w:hint="eastAsia"/>
                <w:lang w:val="en-US" w:eastAsia="zh-CN"/>
              </w:rPr>
              <w:t>制定“</w:t>
            </w:r>
            <w:r>
              <w:rPr>
                <w:rFonts w:hint="eastAsia" w:ascii="Times New Roman" w:hAnsi="Times New Roman" w:eastAsia="宋体" w:cs="Times New Roman"/>
                <w:szCs w:val="22"/>
                <w:lang w:val="en-US" w:eastAsia="zh-CN"/>
              </w:rPr>
              <w:t>环境目标、指标/职业健康安全目标与管理方案及实施情况一览表</w:t>
            </w:r>
            <w:r>
              <w:rPr>
                <w:rFonts w:hint="eastAsia"/>
                <w:lang w:val="en-US" w:eastAsia="zh-CN"/>
              </w:rPr>
              <w:t>”，对重要环境因素和重大危险源进行了控制策划；</w:t>
            </w:r>
          </w:p>
          <w:p>
            <w:pPr>
              <w:pStyle w:val="3"/>
              <w:ind w:firstLine="420" w:firstLineChars="200"/>
              <w:rPr>
                <w:rFonts w:hint="eastAsia"/>
                <w:lang w:val="en-US" w:eastAsia="zh-CN"/>
              </w:rPr>
            </w:pPr>
            <w:r>
              <w:rPr>
                <w:rFonts w:hint="eastAsia"/>
                <w:lang w:val="en-US" w:eastAsia="zh-CN"/>
              </w:rPr>
              <w:t>通过“</w:t>
            </w:r>
            <w:r>
              <w:rPr>
                <w:rFonts w:hint="default"/>
                <w:lang w:val="en-US" w:eastAsia="zh-CN"/>
              </w:rPr>
              <w:t>质量\环境\职业健康安全目标分解考核表</w:t>
            </w:r>
            <w:r>
              <w:rPr>
                <w:rFonts w:hint="eastAsia"/>
                <w:lang w:val="en-US" w:eastAsia="zh-CN"/>
              </w:rPr>
              <w:t>”，对目标进行分解到各部门对目标实现进行了策划；</w:t>
            </w:r>
          </w:p>
          <w:p>
            <w:pPr>
              <w:pStyle w:val="3"/>
              <w:ind w:firstLine="420" w:firstLineChars="200"/>
              <w:rPr>
                <w:rFonts w:hint="default"/>
                <w:lang w:val="en-US" w:eastAsia="zh-CN"/>
              </w:rPr>
            </w:pPr>
            <w:r>
              <w:rPr>
                <w:rFonts w:hint="eastAsia"/>
                <w:lang w:val="en-US" w:eastAsia="zh-CN"/>
              </w:rPr>
              <w:t>显示2021年1-3月对目标完成情况进行了季度考核，均完成。</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rPr>
            </w:pPr>
            <w:r>
              <w:rPr>
                <w:rFonts w:hint="eastAsia"/>
              </w:rPr>
              <w:t>了解受审核方管理体系策划情况</w:t>
            </w:r>
          </w:p>
          <w:p>
            <w:r>
              <w:rPr>
                <w:rFonts w:hint="eastAsia"/>
              </w:rPr>
              <w:t>了解受审核方理解和实施标准要求的情况，特别是对管理体系的关键绩效、过程、和运作的识别情况</w:t>
            </w:r>
          </w:p>
        </w:tc>
        <w:tc>
          <w:tcPr>
            <w:tcW w:w="960" w:type="dxa"/>
          </w:tcPr>
          <w:p/>
        </w:tc>
        <w:tc>
          <w:tcPr>
            <w:tcW w:w="10004" w:type="dxa"/>
          </w:tcPr>
          <w:p>
            <w:pPr>
              <w:spacing w:line="360" w:lineRule="auto"/>
              <w:ind w:firstLine="420" w:firstLineChars="200"/>
              <w:rPr>
                <w:rFonts w:hint="eastAsia"/>
              </w:rPr>
            </w:pPr>
            <w:r>
              <w:rPr>
                <w:rFonts w:hint="eastAsia"/>
              </w:rPr>
              <w:t>质量、环境、职业健康安全管理体系于2020年11月10日建立并正式实施。</w:t>
            </w:r>
          </w:p>
          <w:p>
            <w:pPr>
              <w:spacing w:line="360" w:lineRule="auto"/>
              <w:ind w:firstLine="420" w:firstLineChars="200"/>
              <w:rPr>
                <w:rFonts w:hint="eastAsia"/>
              </w:rPr>
            </w:pPr>
            <w:r>
              <w:rPr>
                <w:rFonts w:hint="eastAsia"/>
                <w:lang w:val="en-US" w:eastAsia="zh-CN"/>
              </w:rPr>
              <w:t>管理手册——A/0，</w:t>
            </w:r>
            <w:r>
              <w:rPr>
                <w:rFonts w:hint="eastAsia"/>
              </w:rPr>
              <w:t>2021年01月10日</w:t>
            </w:r>
          </w:p>
          <w:p>
            <w:pPr>
              <w:spacing w:line="360" w:lineRule="auto"/>
              <w:ind w:firstLine="420" w:firstLineChars="200"/>
              <w:rPr>
                <w:rFonts w:hint="eastAsia"/>
                <w:lang w:val="en-US" w:eastAsia="zh-CN"/>
              </w:rPr>
            </w:pPr>
            <w:r>
              <w:rPr>
                <w:rFonts w:hint="eastAsia"/>
                <w:lang w:val="en-US" w:eastAsia="zh-CN"/>
              </w:rPr>
              <w:t>程序文件——A/0，</w:t>
            </w:r>
            <w:r>
              <w:rPr>
                <w:rFonts w:hint="eastAsia"/>
              </w:rPr>
              <w:t>2021年01月10日</w:t>
            </w:r>
            <w:r>
              <w:rPr>
                <w:rFonts w:hint="eastAsia"/>
                <w:lang w:eastAsia="zh-CN"/>
              </w:rPr>
              <w:t>，</w:t>
            </w:r>
            <w:r>
              <w:rPr>
                <w:rFonts w:hint="eastAsia"/>
                <w:lang w:val="en-US" w:eastAsia="zh-CN"/>
              </w:rPr>
              <w:t>27个；</w:t>
            </w:r>
          </w:p>
          <w:p>
            <w:pPr>
              <w:spacing w:line="360" w:lineRule="auto"/>
              <w:ind w:firstLine="420" w:firstLineChars="200"/>
              <w:rPr>
                <w:rFonts w:hint="eastAsia"/>
                <w:lang w:val="en-US" w:eastAsia="zh-CN"/>
              </w:rPr>
            </w:pPr>
            <w:r>
              <w:rPr>
                <w:rFonts w:hint="eastAsia"/>
                <w:lang w:val="en-US" w:eastAsia="zh-CN"/>
              </w:rPr>
              <w:t>管理文件——编制有工艺文件、操作规程等；</w:t>
            </w:r>
          </w:p>
          <w:p>
            <w:pPr>
              <w:spacing w:line="360" w:lineRule="auto"/>
              <w:ind w:firstLine="420" w:firstLineChars="200"/>
              <w:rPr>
                <w:rFonts w:hint="default"/>
                <w:lang w:val="en-US" w:eastAsia="zh-CN"/>
              </w:rPr>
            </w:pPr>
            <w:r>
              <w:rPr>
                <w:rFonts w:hint="eastAsia"/>
                <w:lang w:val="en-US" w:eastAsia="zh-CN"/>
              </w:rPr>
              <w:t>建立有外来文件清单，收集相关标准和法律，包括混凝土外加剂GB 8076-2008、聚羧酸系高性能减水剂JG/T223-2017等9项；</w:t>
            </w:r>
          </w:p>
          <w:p>
            <w:pPr>
              <w:spacing w:line="360" w:lineRule="auto"/>
              <w:ind w:firstLine="420" w:firstLineChars="200"/>
              <w:rPr>
                <w:rFonts w:hint="eastAsia"/>
                <w:lang w:val="en-US" w:eastAsia="zh-CN"/>
              </w:rPr>
            </w:pPr>
            <w:r>
              <w:rPr>
                <w:rFonts w:hint="eastAsia"/>
                <w:lang w:val="en-US" w:eastAsia="zh-CN"/>
              </w:rPr>
              <w:t>建立环境、职业健康安全法律法规和其他要求清单，共收集97部。</w:t>
            </w:r>
          </w:p>
          <w:p>
            <w:pPr>
              <w:spacing w:line="360" w:lineRule="auto"/>
              <w:ind w:firstLine="420" w:firstLineChars="200"/>
              <w:rPr>
                <w:rFonts w:hint="eastAsia"/>
                <w:color w:val="auto"/>
                <w:lang w:val="en-US" w:eastAsia="zh-CN"/>
              </w:rPr>
            </w:pPr>
            <w:r>
              <w:rPr>
                <w:rFonts w:hint="eastAsia"/>
                <w:color w:val="auto"/>
                <w:lang w:val="en-US" w:eastAsia="zh-CN"/>
              </w:rPr>
              <w:t>识别了目标管理、资源管理、文件管理、采购、生产制备、绩效监测、改进等过程。</w:t>
            </w:r>
          </w:p>
          <w:p>
            <w:pPr>
              <w:spacing w:line="360" w:lineRule="auto"/>
              <w:ind w:firstLine="420" w:firstLineChars="200"/>
              <w:rPr>
                <w:rFonts w:hint="default" w:eastAsia="宋体"/>
                <w:lang w:val="en-US" w:eastAsia="zh-CN"/>
              </w:rPr>
            </w:pPr>
            <w:r>
              <w:rPr>
                <w:rFonts w:hint="eastAsia"/>
                <w:lang w:val="en-US" w:eastAsia="zh-CN"/>
              </w:rPr>
              <w:t>不适用条款为8.3，本公司</w:t>
            </w:r>
            <w:r>
              <w:rPr>
                <w:rFonts w:hint="default"/>
                <w:b w:val="0"/>
                <w:bCs w:val="0"/>
                <w:lang w:val="en-US" w:eastAsia="zh-CN"/>
              </w:rPr>
              <w:t>建筑添加剂（减水剂）的生产</w:t>
            </w:r>
            <w:r>
              <w:rPr>
                <w:rFonts w:hint="eastAsia"/>
                <w:lang w:val="en-US" w:eastAsia="zh-CN"/>
              </w:rPr>
              <w:t>，按照顾客要求，国家或行业相关标准要求进行制造生产，其生产过程不涉及GB/T19001-2016/ISO 9001：2015标准中8.3条款内容，其不适用的要求不影响组织确保其产品和服务合格的能力和责任，对增强顾客满意也不会产生影响.</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了解受审核方</w:t>
            </w:r>
            <w:r>
              <w:rPr>
                <w:rFonts w:hint="eastAsia" w:ascii="宋体" w:hAnsi="宋体" w:cs="宋体"/>
                <w:sz w:val="21"/>
                <w:szCs w:val="21"/>
                <w:lang w:val="en-US" w:eastAsia="zh-CN"/>
              </w:rPr>
              <w:t>产品</w:t>
            </w:r>
            <w:r>
              <w:rPr>
                <w:rFonts w:hint="eastAsia" w:ascii="宋体" w:hAnsi="宋体" w:eastAsia="宋体" w:cs="宋体"/>
                <w:sz w:val="21"/>
                <w:szCs w:val="21"/>
              </w:rPr>
              <w:t>实现过程的策划和实施控制情况；</w:t>
            </w:r>
          </w:p>
          <w:p>
            <w:pPr>
              <w:rPr>
                <w:rFonts w:hint="eastAsia"/>
              </w:rPr>
            </w:pPr>
            <w:r>
              <w:rPr>
                <w:rFonts w:hint="eastAsia" w:ascii="宋体" w:hAnsi="宋体" w:eastAsia="宋体" w:cs="宋体"/>
                <w:color w:val="auto"/>
                <w:sz w:val="21"/>
                <w:szCs w:val="21"/>
                <w:highlight w:val="none"/>
              </w:rPr>
              <w:t>了解受审核方</w:t>
            </w:r>
            <w:r>
              <w:rPr>
                <w:rFonts w:hint="eastAsia" w:ascii="宋体" w:hAnsi="宋体" w:cs="宋体"/>
                <w:color w:val="auto"/>
                <w:sz w:val="21"/>
                <w:szCs w:val="21"/>
                <w:highlight w:val="none"/>
                <w:lang w:val="en-US" w:eastAsia="zh-CN"/>
              </w:rPr>
              <w:t>生产提供控制</w:t>
            </w:r>
            <w:r>
              <w:rPr>
                <w:rFonts w:hint="eastAsia" w:ascii="宋体" w:hAnsi="宋体" w:eastAsia="宋体" w:cs="宋体"/>
                <w:color w:val="auto"/>
                <w:sz w:val="21"/>
                <w:szCs w:val="21"/>
                <w:highlight w:val="none"/>
              </w:rPr>
              <w:t>情况；</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工艺流程图</w:t>
            </w:r>
          </w:p>
          <w:p>
            <w:pPr>
              <w:spacing w:line="360" w:lineRule="auto"/>
              <w:ind w:firstLine="420" w:firstLineChars="200"/>
              <w:rPr>
                <w:rFonts w:hint="eastAsia"/>
                <w:lang w:val="en-US" w:eastAsia="zh-CN"/>
              </w:rPr>
            </w:pPr>
            <w:r>
              <w:rPr>
                <w:rFonts w:hint="eastAsia"/>
                <w:lang w:val="en-US" w:eastAsia="zh-CN"/>
              </w:rPr>
              <w:t>准备－投料－反应－罐装</w:t>
            </w:r>
          </w:p>
          <w:p>
            <w:pPr>
              <w:spacing w:line="360" w:lineRule="auto"/>
              <w:ind w:firstLine="420" w:firstLineChars="200"/>
              <w:rPr>
                <w:rFonts w:hint="eastAsia"/>
                <w:lang w:val="en-US" w:eastAsia="zh-CN"/>
              </w:rPr>
            </w:pPr>
            <w:r>
              <w:rPr>
                <w:rFonts w:hint="eastAsia"/>
                <w:lang w:val="en-US" w:eastAsia="zh-CN"/>
              </w:rPr>
              <w:t>关键过程：投料、反应</w:t>
            </w:r>
          </w:p>
          <w:p>
            <w:pPr>
              <w:spacing w:line="360" w:lineRule="auto"/>
              <w:ind w:firstLine="420" w:firstLineChars="200"/>
              <w:rPr>
                <w:rFonts w:hint="default"/>
                <w:szCs w:val="22"/>
                <w:lang w:val="en-US" w:eastAsia="zh-CN"/>
              </w:rPr>
            </w:pPr>
            <w:r>
              <w:rPr>
                <w:rFonts w:hint="eastAsia"/>
                <w:szCs w:val="22"/>
                <w:lang w:val="en-US" w:eastAsia="zh-CN"/>
              </w:rPr>
              <w:t>现场观察，作业人员将聚羧酸母液(SPEG、F1088)、葡萄糖酸钠、ATMP、白糖、Vc、水等原辅材料按一定比例称重；称重后依次放入反应釜搅拌混合均匀，自然冷却后灌装。</w:t>
            </w:r>
            <w:bookmarkStart w:id="0" w:name="_GoBack"/>
            <w:bookmarkEnd w:id="0"/>
          </w:p>
          <w:p>
            <w:pPr>
              <w:spacing w:line="360" w:lineRule="auto"/>
              <w:ind w:firstLine="420" w:firstLineChars="200"/>
              <w:rPr>
                <w:rFonts w:hint="default" w:eastAsia="宋体"/>
                <w:lang w:val="en-US" w:eastAsia="zh-CN"/>
              </w:rPr>
            </w:pPr>
            <w:r>
              <w:rPr>
                <w:rFonts w:hint="eastAsia"/>
                <w:szCs w:val="22"/>
                <w:lang w:val="en-US" w:eastAsia="zh-CN"/>
              </w:rPr>
              <w:t>建筑添加剂（减水剂）的制备正常有序开展，控制有效。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 w:val="21"/>
                <w:szCs w:val="21"/>
              </w:rPr>
            </w:pPr>
            <w:r>
              <w:rPr>
                <w:rFonts w:hint="eastAsia"/>
                <w:sz w:val="21"/>
                <w:szCs w:val="21"/>
              </w:rPr>
              <w:t>环境、职业健康安全管理体系</w:t>
            </w:r>
            <w:r>
              <w:rPr>
                <w:rFonts w:hint="eastAsia"/>
                <w:sz w:val="21"/>
                <w:szCs w:val="21"/>
                <w:lang w:val="en-US" w:eastAsia="zh-CN"/>
              </w:rPr>
              <w:t>运行</w:t>
            </w:r>
            <w:r>
              <w:rPr>
                <w:rFonts w:hint="eastAsia"/>
                <w:sz w:val="21"/>
                <w:szCs w:val="21"/>
              </w:rPr>
              <w:t>情况；</w:t>
            </w:r>
          </w:p>
        </w:tc>
        <w:tc>
          <w:tcPr>
            <w:tcW w:w="960" w:type="dxa"/>
          </w:tcPr>
          <w:p/>
        </w:tc>
        <w:tc>
          <w:tcPr>
            <w:tcW w:w="10004" w:type="dxa"/>
          </w:tcPr>
          <w:p>
            <w:pPr>
              <w:ind w:firstLine="420" w:firstLineChars="200"/>
            </w:pPr>
            <w:r>
              <w:rPr>
                <w:rFonts w:hint="eastAsia" w:ascii="Times New Roman" w:hAnsi="Times New Roman" w:eastAsia="宋体" w:cs="Times New Roman"/>
                <w:szCs w:val="22"/>
                <w:lang w:val="en-US" w:eastAsia="zh-CN"/>
              </w:rPr>
              <w:t>环境、职业健康安全管理体系运行有效。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了解受审核方环境因素和危险源识别、重要环境因素和重大危险源控制措施策划</w:t>
            </w:r>
            <w:r>
              <w:rPr>
                <w:rFonts w:hint="eastAsia"/>
                <w:sz w:val="21"/>
                <w:szCs w:val="21"/>
                <w:lang w:eastAsia="zh-CN"/>
              </w:rPr>
              <w:t>；</w:t>
            </w:r>
          </w:p>
        </w:tc>
        <w:tc>
          <w:tcPr>
            <w:tcW w:w="960" w:type="dxa"/>
          </w:tcPr>
          <w:p/>
        </w:tc>
        <w:tc>
          <w:tcPr>
            <w:tcW w:w="10004" w:type="dxa"/>
          </w:tcPr>
          <w:p>
            <w:pPr>
              <w:spacing w:line="360" w:lineRule="auto"/>
              <w:ind w:firstLine="420" w:firstLineChars="200"/>
              <w:rPr>
                <w:rFonts w:hint="eastAsia"/>
                <w:szCs w:val="22"/>
                <w:lang w:val="en-US" w:eastAsia="zh-CN"/>
              </w:rPr>
            </w:pPr>
            <w:r>
              <w:rPr>
                <w:rFonts w:hint="eastAsia"/>
                <w:szCs w:val="22"/>
                <w:lang w:val="en-US" w:eastAsia="zh-CN"/>
              </w:rPr>
              <w:t>保留重要环境因素清单：固体废物排放、潜在火灾、噪声排放、粉尘排放，基本合理。</w:t>
            </w:r>
          </w:p>
          <w:p>
            <w:pPr>
              <w:spacing w:line="360" w:lineRule="auto"/>
              <w:ind w:firstLine="420" w:firstLineChars="200"/>
              <w:rPr>
                <w:rFonts w:hint="eastAsia"/>
                <w:szCs w:val="22"/>
                <w:lang w:val="en-US" w:eastAsia="zh-CN"/>
              </w:rPr>
            </w:pPr>
            <w:r>
              <w:rPr>
                <w:rFonts w:hint="eastAsia"/>
                <w:szCs w:val="22"/>
                <w:lang w:val="en-US" w:eastAsia="zh-CN"/>
              </w:rPr>
              <w:t>控制措施：一般固废集中收集外售至废品回收站；危废委托有资质单位回收；选用低噪声设备，合理布局，隔声减震，厂房隔音；设备、电路定期检修、不定期检查，提高安全意识；做好火灾预防措施。一旦发生按相关应急预案执行；制定目标、指标；设备、电路定期检修、降低跑冒滴漏；</w:t>
            </w:r>
          </w:p>
          <w:p>
            <w:pPr>
              <w:spacing w:line="360" w:lineRule="auto"/>
              <w:ind w:firstLine="420" w:firstLineChars="200"/>
              <w:rPr>
                <w:rFonts w:hint="eastAsia"/>
                <w:szCs w:val="22"/>
                <w:lang w:val="en-US" w:eastAsia="zh-CN"/>
              </w:rPr>
            </w:pPr>
            <w:r>
              <w:rPr>
                <w:rFonts w:hint="eastAsia"/>
                <w:szCs w:val="22"/>
                <w:lang w:val="en-US" w:eastAsia="zh-CN"/>
              </w:rPr>
              <w:t>保留不可接受风险清单：机械伤害、触电、听力伤害、粉尘伤害、交通事故伤害</w:t>
            </w:r>
          </w:p>
          <w:p>
            <w:pPr>
              <w:spacing w:line="360" w:lineRule="auto"/>
              <w:ind w:firstLine="420" w:firstLineChars="200"/>
            </w:pPr>
            <w:r>
              <w:rPr>
                <w:rFonts w:hint="eastAsia"/>
                <w:szCs w:val="22"/>
                <w:lang w:val="en-US" w:eastAsia="zh-CN"/>
              </w:rPr>
              <w:t>控制措施：选用低噪声设备，合理布局，隔声减震；设备加防护罩、设备/电路定期检修、不定期检查，提高安全意识；做好火灾预防措施；配置集尘罩，抽排粉尘废气；加强个体防护；进行交通安全意识教育；一旦发生按相关应急预案执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tcPr>
          <w:p>
            <w:pPr>
              <w:rPr>
                <w:rFonts w:hint="eastAsia"/>
                <w:sz w:val="21"/>
                <w:szCs w:val="21"/>
              </w:rPr>
            </w:pPr>
            <w:r>
              <w:rPr>
                <w:rFonts w:hint="eastAsia"/>
                <w:sz w:val="21"/>
                <w:szCs w:val="21"/>
              </w:rPr>
              <w:t>了解受审核方文件、外来文件和环境、职业健康安全适用法律法规及其他要求控制情况；</w:t>
            </w:r>
          </w:p>
          <w:p>
            <w:pPr>
              <w:rPr>
                <w:rFonts w:hint="eastAsia"/>
                <w:sz w:val="21"/>
                <w:szCs w:val="21"/>
                <w:lang w:val="en-US" w:eastAsia="zh-CN"/>
              </w:rPr>
            </w:pPr>
            <w:r>
              <w:rPr>
                <w:rFonts w:hint="eastAsia"/>
                <w:sz w:val="21"/>
                <w:szCs w:val="21"/>
              </w:rPr>
              <w:t>合规性评价；</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体系文件包括：</w:t>
            </w:r>
          </w:p>
          <w:p>
            <w:pPr>
              <w:spacing w:line="360" w:lineRule="auto"/>
              <w:ind w:firstLine="420" w:firstLineChars="200"/>
              <w:rPr>
                <w:rFonts w:hint="eastAsia"/>
              </w:rPr>
            </w:pPr>
            <w:r>
              <w:rPr>
                <w:rFonts w:hint="eastAsia"/>
                <w:lang w:val="en-US" w:eastAsia="zh-CN"/>
              </w:rPr>
              <w:t>管理手册——A/0，</w:t>
            </w:r>
            <w:r>
              <w:rPr>
                <w:rFonts w:hint="eastAsia"/>
              </w:rPr>
              <w:t>2021年01月10日</w:t>
            </w:r>
          </w:p>
          <w:p>
            <w:pPr>
              <w:spacing w:line="360" w:lineRule="auto"/>
              <w:ind w:firstLine="420" w:firstLineChars="200"/>
              <w:rPr>
                <w:rFonts w:hint="eastAsia"/>
                <w:lang w:val="en-US" w:eastAsia="zh-CN"/>
              </w:rPr>
            </w:pPr>
            <w:r>
              <w:rPr>
                <w:rFonts w:hint="eastAsia"/>
                <w:lang w:val="en-US" w:eastAsia="zh-CN"/>
              </w:rPr>
              <w:t>程序文件——A/0，</w:t>
            </w:r>
            <w:r>
              <w:rPr>
                <w:rFonts w:hint="eastAsia"/>
              </w:rPr>
              <w:t>2021年01月10日</w:t>
            </w:r>
            <w:r>
              <w:rPr>
                <w:rFonts w:hint="eastAsia"/>
                <w:lang w:eastAsia="zh-CN"/>
              </w:rPr>
              <w:t>，</w:t>
            </w:r>
            <w:r>
              <w:rPr>
                <w:rFonts w:hint="eastAsia"/>
                <w:lang w:val="en-US" w:eastAsia="zh-CN"/>
              </w:rPr>
              <w:t>27个</w:t>
            </w:r>
          </w:p>
          <w:p>
            <w:pPr>
              <w:spacing w:line="360" w:lineRule="auto"/>
              <w:ind w:firstLine="420" w:firstLineChars="200"/>
              <w:rPr>
                <w:rFonts w:hint="eastAsia"/>
                <w:lang w:val="en-US" w:eastAsia="zh-CN"/>
              </w:rPr>
            </w:pPr>
            <w:r>
              <w:rPr>
                <w:rFonts w:hint="eastAsia"/>
                <w:lang w:val="en-US" w:eastAsia="zh-CN"/>
              </w:rPr>
              <w:t>管理文件——编制有工艺文件、操作规程等；</w:t>
            </w:r>
          </w:p>
          <w:p>
            <w:pPr>
              <w:spacing w:line="360" w:lineRule="auto"/>
              <w:ind w:firstLine="420" w:firstLineChars="200"/>
              <w:rPr>
                <w:rFonts w:hint="default"/>
                <w:lang w:val="en-US" w:eastAsia="zh-CN"/>
              </w:rPr>
            </w:pPr>
            <w:r>
              <w:rPr>
                <w:rFonts w:hint="eastAsia"/>
                <w:lang w:val="en-US" w:eastAsia="zh-CN"/>
              </w:rPr>
              <w:t>建立有外来文件清单，收集相关标准和法律，包括混凝土外加剂GB 8076-2008、聚羧酸系高性能减水剂JG/T223-2017等9项；</w:t>
            </w:r>
          </w:p>
          <w:p>
            <w:pPr>
              <w:spacing w:line="360" w:lineRule="auto"/>
              <w:ind w:firstLine="420" w:firstLineChars="200"/>
              <w:rPr>
                <w:rFonts w:hint="eastAsia"/>
                <w:lang w:val="en-US" w:eastAsia="zh-CN"/>
              </w:rPr>
            </w:pPr>
            <w:r>
              <w:rPr>
                <w:rFonts w:hint="eastAsia"/>
                <w:lang w:val="en-US" w:eastAsia="zh-CN"/>
              </w:rPr>
              <w:t>建立环境、职业健康安全法律法规和其他要求清单，共收集97部。</w:t>
            </w:r>
          </w:p>
          <w:p>
            <w:pPr>
              <w:spacing w:line="360" w:lineRule="auto"/>
              <w:ind w:firstLine="420" w:firstLineChars="200"/>
              <w:rPr>
                <w:rFonts w:hint="eastAsia"/>
                <w:lang w:val="en-US" w:eastAsia="zh-CN"/>
              </w:rPr>
            </w:pPr>
            <w:r>
              <w:rPr>
                <w:rFonts w:hint="default"/>
                <w:lang w:val="en-US" w:eastAsia="zh-CN"/>
              </w:rPr>
              <w:t>2021年3月12日</w:t>
            </w:r>
            <w:r>
              <w:rPr>
                <w:rFonts w:hint="eastAsia"/>
                <w:lang w:val="en-US" w:eastAsia="zh-CN"/>
              </w:rPr>
              <w:t>进行合规性评价，保留有合规性评价记录和合规性评价报告。</w:t>
            </w:r>
          </w:p>
          <w:p>
            <w:pPr>
              <w:spacing w:line="360" w:lineRule="auto"/>
              <w:ind w:firstLine="420" w:firstLineChars="200"/>
            </w:pPr>
            <w:r>
              <w:rPr>
                <w:rFonts w:hint="eastAsia"/>
                <w:lang w:val="en-US" w:eastAsia="zh-CN"/>
              </w:rPr>
              <w:t>评价结论：公司没有违反国家法律、法规及相关标准，能严格遵守国家有关环境和职业健康安全管理方面的相关规定，密切关注法律法规的变化，并适时调整，严格按体系标准执行。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sz w:val="21"/>
                <w:szCs w:val="21"/>
              </w:rPr>
            </w:pPr>
            <w:r>
              <w:rPr>
                <w:rFonts w:hint="eastAsia"/>
                <w:sz w:val="21"/>
                <w:szCs w:val="21"/>
              </w:rPr>
              <w:t>了解受审核方是否策划和实施了内部审核；</w:t>
            </w:r>
          </w:p>
          <w:p>
            <w:pPr>
              <w:rPr>
                <w:rFonts w:hint="eastAsia"/>
                <w:sz w:val="21"/>
                <w:szCs w:val="21"/>
                <w:lang w:val="en-US" w:eastAsia="zh-CN"/>
              </w:rPr>
            </w:pPr>
            <w:r>
              <w:rPr>
                <w:rFonts w:hint="eastAsia"/>
                <w:sz w:val="21"/>
                <w:szCs w:val="21"/>
              </w:rPr>
              <w:t>了解管理评审控制情况；</w:t>
            </w:r>
          </w:p>
        </w:tc>
        <w:tc>
          <w:tcPr>
            <w:tcW w:w="960" w:type="dxa"/>
          </w:tcPr>
          <w:p/>
        </w:tc>
        <w:tc>
          <w:tcPr>
            <w:tcW w:w="10004" w:type="dxa"/>
          </w:tcPr>
          <w:p>
            <w:pPr>
              <w:spacing w:line="360" w:lineRule="auto"/>
              <w:ind w:firstLine="420" w:firstLineChars="200"/>
              <w:rPr>
                <w:rFonts w:hint="eastAsia"/>
                <w:lang w:val="en-US" w:eastAsia="zh-CN"/>
              </w:rPr>
            </w:pPr>
            <w:r>
              <w:rPr>
                <w:rFonts w:hint="eastAsia"/>
                <w:lang w:val="en-US" w:eastAsia="zh-CN"/>
              </w:rPr>
              <w:t>2021年4月26-27日，对各部门进行了内审，保留了内审计划、内审记录、不符合报告、内审报告；内审覆盖了管理体系范围内的活动及标准的要求；</w:t>
            </w:r>
          </w:p>
          <w:p>
            <w:pPr>
              <w:spacing w:line="360" w:lineRule="auto"/>
              <w:ind w:firstLine="420" w:firstLineChars="200"/>
              <w:rPr>
                <w:rFonts w:hint="default"/>
                <w:lang w:val="en-US" w:eastAsia="zh-CN"/>
              </w:rPr>
            </w:pPr>
            <w:r>
              <w:rPr>
                <w:rFonts w:hint="eastAsia"/>
                <w:lang w:val="en-US" w:eastAsia="zh-CN"/>
              </w:rPr>
              <w:t>本次内审开具不符合报告1份，涉及产品标识，已整改，有整改验收记录；</w:t>
            </w:r>
          </w:p>
          <w:p>
            <w:pPr>
              <w:spacing w:line="360" w:lineRule="auto"/>
              <w:ind w:firstLine="420" w:firstLineChars="200"/>
              <w:rPr>
                <w:rFonts w:hint="eastAsia"/>
                <w:lang w:val="en-US" w:eastAsia="zh-CN"/>
              </w:rPr>
            </w:pPr>
            <w:r>
              <w:rPr>
                <w:rFonts w:hint="eastAsia"/>
                <w:lang w:val="en-US" w:eastAsia="zh-CN"/>
              </w:rPr>
              <w:t>内审结论为：三体系运行基本良好，运行达到一定的效果，基本符合标准的要求，但仍存在不足，各部门应举一反三，对类似问题予以整改。</w:t>
            </w:r>
          </w:p>
          <w:p>
            <w:pPr>
              <w:spacing w:line="360" w:lineRule="auto"/>
              <w:ind w:firstLine="420" w:firstLineChars="200"/>
              <w:rPr>
                <w:rFonts w:hint="eastAsia"/>
                <w:lang w:val="en-US" w:eastAsia="zh-CN"/>
              </w:rPr>
            </w:pPr>
            <w:r>
              <w:rPr>
                <w:rFonts w:hint="eastAsia"/>
                <w:lang w:val="en-US" w:eastAsia="zh-CN"/>
              </w:rPr>
              <w:t>2021年5月10日在公司会议室由</w:t>
            </w:r>
            <w:r>
              <w:rPr>
                <w:rFonts w:hint="eastAsia"/>
                <w:color w:val="auto"/>
                <w:highlight w:val="none"/>
                <w:lang w:val="en-US" w:eastAsia="zh-CN"/>
              </w:rPr>
              <w:t>孙壮凯</w:t>
            </w:r>
            <w:r>
              <w:rPr>
                <w:rFonts w:hint="eastAsia"/>
                <w:lang w:val="en-US" w:eastAsia="zh-CN"/>
              </w:rPr>
              <w:t>总经理主持召开管理评审会议；</w:t>
            </w:r>
          </w:p>
          <w:p>
            <w:pPr>
              <w:spacing w:line="360" w:lineRule="auto"/>
              <w:ind w:firstLine="420" w:firstLineChars="200"/>
              <w:rPr>
                <w:rFonts w:hint="eastAsia"/>
                <w:lang w:val="en-US" w:eastAsia="zh-CN"/>
              </w:rPr>
            </w:pPr>
            <w:r>
              <w:rPr>
                <w:rFonts w:hint="eastAsia"/>
                <w:lang w:val="en-US" w:eastAsia="zh-CN"/>
              </w:rPr>
              <w:t>保留管理评审计划、管理评审报告、管理评审会议纪要等；</w:t>
            </w:r>
          </w:p>
          <w:p>
            <w:pPr>
              <w:spacing w:line="360" w:lineRule="auto"/>
              <w:ind w:firstLine="420" w:firstLineChars="200"/>
              <w:rPr>
                <w:rFonts w:hint="eastAsia"/>
                <w:lang w:val="en-US" w:eastAsia="zh-CN"/>
              </w:rPr>
            </w:pPr>
            <w:r>
              <w:rPr>
                <w:rFonts w:hint="eastAsia"/>
                <w:lang w:val="en-US" w:eastAsia="zh-CN"/>
              </w:rPr>
              <w:t>管理评审输入充分；</w:t>
            </w:r>
          </w:p>
          <w:p>
            <w:pPr>
              <w:spacing w:line="360" w:lineRule="auto"/>
              <w:ind w:firstLine="420" w:firstLineChars="200"/>
              <w:rPr>
                <w:rFonts w:hint="eastAsia"/>
                <w:lang w:val="en-US" w:eastAsia="zh-CN"/>
              </w:rPr>
            </w:pPr>
            <w:r>
              <w:rPr>
                <w:rFonts w:hint="eastAsia"/>
                <w:lang w:val="en-US" w:eastAsia="zh-CN"/>
              </w:rPr>
              <w:t>管理评审结论：建立和运行是充分的、适宜的、有效的。</w:t>
            </w:r>
          </w:p>
          <w:p>
            <w:pPr>
              <w:spacing w:line="360" w:lineRule="auto"/>
              <w:ind w:firstLine="420" w:firstLineChars="200"/>
              <w:rPr>
                <w:rFonts w:hint="eastAsia"/>
                <w:lang w:val="en-US" w:eastAsia="zh-CN"/>
              </w:rPr>
            </w:pPr>
            <w:r>
              <w:rPr>
                <w:rFonts w:hint="eastAsia"/>
                <w:lang w:val="en-US" w:eastAsia="zh-CN"/>
              </w:rPr>
              <w:t>改进措施要求：进一步组织对相关的法律、法规、规程和规范的学习，以增强广大技术人员的质量意识环境保护意识；</w:t>
            </w:r>
          </w:p>
          <w:p>
            <w:pPr>
              <w:spacing w:line="360" w:lineRule="auto"/>
              <w:ind w:firstLine="420" w:firstLineChars="200"/>
              <w:rPr>
                <w:rFonts w:hint="default"/>
                <w:lang w:val="en-US"/>
              </w:rPr>
            </w:pPr>
            <w:r>
              <w:rPr>
                <w:rFonts w:hint="eastAsia" w:ascii="Times New Roman" w:hAnsi="Times New Roman" w:eastAsia="宋体" w:cs="Times New Roman"/>
                <w:szCs w:val="22"/>
                <w:lang w:val="en-US" w:eastAsia="zh-CN"/>
              </w:rPr>
              <w:t>保留有“管理评审改进措施计划”。</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 w:val="21"/>
                <w:szCs w:val="21"/>
              </w:rPr>
            </w:pPr>
            <w:r>
              <w:rPr>
                <w:rFonts w:hint="eastAsia"/>
                <w:sz w:val="21"/>
                <w:szCs w:val="21"/>
              </w:rPr>
              <w:t>特种设备</w:t>
            </w:r>
            <w:r>
              <w:rPr>
                <w:rFonts w:hint="eastAsia"/>
                <w:sz w:val="21"/>
                <w:szCs w:val="21"/>
                <w:lang w:val="en-US" w:eastAsia="zh-CN"/>
              </w:rPr>
              <w:t>、</w:t>
            </w:r>
            <w:r>
              <w:rPr>
                <w:rFonts w:hint="eastAsia"/>
                <w:sz w:val="21"/>
                <w:szCs w:val="21"/>
              </w:rPr>
              <w:t>环保、安全设施</w:t>
            </w:r>
            <w:r>
              <w:rPr>
                <w:rFonts w:hint="eastAsia"/>
                <w:sz w:val="21"/>
                <w:szCs w:val="21"/>
                <w:lang w:eastAsia="zh-CN"/>
              </w:rPr>
              <w:t>、</w:t>
            </w:r>
            <w:r>
              <w:rPr>
                <w:rFonts w:hint="eastAsia"/>
                <w:sz w:val="21"/>
                <w:szCs w:val="21"/>
              </w:rPr>
              <w:t>监测设备</w:t>
            </w:r>
          </w:p>
        </w:tc>
        <w:tc>
          <w:tcPr>
            <w:tcW w:w="960" w:type="dxa"/>
          </w:tcPr>
          <w:p/>
        </w:tc>
        <w:tc>
          <w:tcPr>
            <w:tcW w:w="10004" w:type="dxa"/>
          </w:tcPr>
          <w:p>
            <w:pPr>
              <w:pStyle w:val="3"/>
              <w:spacing w:line="360" w:lineRule="auto"/>
              <w:ind w:firstLine="420"/>
              <w:rPr>
                <w:rFonts w:hint="eastAsia"/>
                <w:highlight w:val="none"/>
                <w:lang w:val="en-US" w:eastAsia="zh-CN"/>
              </w:rPr>
            </w:pPr>
            <w:r>
              <w:rPr>
                <w:rFonts w:hint="eastAsia"/>
                <w:highlight w:val="none"/>
                <w:lang w:val="en-US" w:eastAsia="zh-CN"/>
              </w:rPr>
              <w:t>查监测装置台账，列有计量装置，查见电子台秤、天平秤的校准证书，有效，湖南航测检测技术服务有限公司出具。</w:t>
            </w:r>
          </w:p>
          <w:p>
            <w:pPr>
              <w:pStyle w:val="3"/>
              <w:spacing w:line="360" w:lineRule="auto"/>
              <w:ind w:firstLine="420"/>
              <w:rPr>
                <w:rFonts w:hint="eastAsia"/>
                <w:highlight w:val="none"/>
                <w:lang w:val="en-US" w:eastAsia="zh-CN"/>
              </w:rPr>
            </w:pPr>
            <w:r>
              <w:rPr>
                <w:rFonts w:hint="eastAsia"/>
                <w:highlight w:val="none"/>
                <w:lang w:val="en-US" w:eastAsia="zh-CN"/>
              </w:rPr>
              <w:t>查见特种设备使用登记证和检测报告：</w:t>
            </w:r>
          </w:p>
          <w:p>
            <w:pPr>
              <w:pStyle w:val="3"/>
              <w:spacing w:line="360" w:lineRule="auto"/>
              <w:ind w:firstLine="420"/>
              <w:rPr>
                <w:rFonts w:hint="eastAsia"/>
                <w:highlight w:val="none"/>
                <w:lang w:val="en-US" w:eastAsia="zh-CN"/>
              </w:rPr>
            </w:pPr>
            <w:r>
              <w:rPr>
                <w:rFonts w:hint="eastAsia"/>
                <w:highlight w:val="none"/>
                <w:lang w:val="en-US" w:eastAsia="zh-CN"/>
              </w:rPr>
              <w:t>有机热载体液相炉（锅炉）——特种设备使用标志，下次检验时间2021.9.2，赣州市特种设备监督检验中心出具；</w:t>
            </w:r>
          </w:p>
          <w:p>
            <w:pPr>
              <w:pStyle w:val="3"/>
              <w:spacing w:line="360" w:lineRule="auto"/>
              <w:ind w:firstLine="420"/>
              <w:rPr>
                <w:rFonts w:hint="default"/>
                <w:highlight w:val="none"/>
                <w:lang w:val="en-US" w:eastAsia="zh-CN"/>
              </w:rPr>
            </w:pPr>
            <w:r>
              <w:rPr>
                <w:rFonts w:hint="eastAsia"/>
                <w:highlight w:val="none"/>
                <w:lang w:val="en-US" w:eastAsia="zh-CN"/>
              </w:rPr>
              <w:t>桥式起重机定期检验报告——检验结论：复检合格，下次定检日期：2021年12月；设备代码41xxx292，赣州市特种设备监督检验中心。</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eastAsia="宋体"/>
                <w:sz w:val="21"/>
                <w:szCs w:val="21"/>
                <w:lang w:val="en-US" w:eastAsia="zh-CN"/>
              </w:rPr>
            </w:pPr>
            <w:r>
              <w:rPr>
                <w:rFonts w:hint="eastAsia"/>
                <w:sz w:val="21"/>
                <w:szCs w:val="21"/>
                <w:highlight w:val="none"/>
                <w:lang w:val="en-US" w:eastAsia="zh-CN"/>
              </w:rPr>
              <w:t>现场观察</w:t>
            </w:r>
          </w:p>
        </w:tc>
        <w:tc>
          <w:tcPr>
            <w:tcW w:w="960" w:type="dxa"/>
          </w:tcPr>
          <w:p/>
        </w:tc>
        <w:tc>
          <w:tcPr>
            <w:tcW w:w="10004" w:type="dxa"/>
          </w:tcPr>
          <w:p>
            <w:pPr>
              <w:spacing w:line="360" w:lineRule="auto"/>
              <w:ind w:firstLine="420"/>
              <w:rPr>
                <w:rFonts w:hint="eastAsia"/>
                <w:lang w:val="en-US" w:eastAsia="zh-CN"/>
              </w:rPr>
            </w:pPr>
            <w:r>
              <w:rPr>
                <w:rFonts w:hint="eastAsia"/>
                <w:lang w:val="en-US" w:eastAsia="zh-CN"/>
              </w:rPr>
              <w:t>现场观察，办公环境：</w:t>
            </w:r>
          </w:p>
          <w:p>
            <w:pPr>
              <w:spacing w:line="360" w:lineRule="auto"/>
              <w:ind w:firstLine="420" w:firstLineChars="200"/>
              <w:rPr>
                <w:rFonts w:hint="eastAsia"/>
                <w:lang w:val="en-US" w:eastAsia="zh-CN"/>
              </w:rPr>
            </w:pPr>
            <w:r>
              <w:rPr>
                <w:rFonts w:hint="eastAsia"/>
                <w:lang w:val="en-US" w:eastAsia="zh-CN"/>
              </w:rPr>
              <w:t>办公环境面积大约1000余平方米，</w:t>
            </w:r>
            <w:r>
              <w:rPr>
                <w:rFonts w:hint="eastAsia"/>
              </w:rPr>
              <w:t>工作场所布局合理，</w:t>
            </w:r>
            <w:r>
              <w:rPr>
                <w:rFonts w:hint="eastAsia"/>
                <w:lang w:val="en-US" w:eastAsia="zh-CN"/>
              </w:rPr>
              <w:t>座椅和办公桌符合人体工程学要求，员工有自我防护意识，工间能适当走动、休息；配置有适量的绿植，通风、采光良好，中央空调使用，温度合适；</w:t>
            </w:r>
            <w:r>
              <w:rPr>
                <w:rFonts w:hint="eastAsia"/>
              </w:rPr>
              <w:t>满足办公需求。</w:t>
            </w:r>
          </w:p>
          <w:p>
            <w:pPr>
              <w:spacing w:line="360" w:lineRule="auto"/>
              <w:ind w:firstLine="420" w:firstLineChars="200"/>
              <w:rPr>
                <w:rFonts w:hint="eastAsia"/>
                <w:lang w:val="en-US" w:eastAsia="zh-CN"/>
              </w:rPr>
            </w:pPr>
            <w:r>
              <w:rPr>
                <w:rFonts w:hint="eastAsia"/>
                <w:lang w:val="en-US" w:eastAsia="zh-CN"/>
              </w:rPr>
              <w:t>办公室有垃圾桶，办公过程产生的垃圾统一收集、市政环卫部门处理；</w:t>
            </w:r>
          </w:p>
          <w:p>
            <w:pPr>
              <w:spacing w:line="360" w:lineRule="auto"/>
              <w:ind w:firstLine="420" w:firstLineChars="200"/>
              <w:rPr>
                <w:rFonts w:hint="default"/>
                <w:lang w:val="en-US" w:eastAsia="zh-CN"/>
              </w:rPr>
            </w:pPr>
            <w:r>
              <w:rPr>
                <w:rFonts w:hint="eastAsia"/>
                <w:lang w:val="en-US" w:eastAsia="zh-CN"/>
              </w:rPr>
              <w:t>介绍说办公用废弃硒鼓由供应商回收，以旧换新；</w:t>
            </w:r>
          </w:p>
          <w:p>
            <w:pPr>
              <w:spacing w:line="360" w:lineRule="auto"/>
              <w:ind w:firstLine="420" w:firstLineChars="200"/>
              <w:rPr>
                <w:rFonts w:hint="eastAsia"/>
                <w:lang w:val="en-US" w:eastAsia="zh-CN"/>
              </w:rPr>
            </w:pPr>
            <w:r>
              <w:rPr>
                <w:rFonts w:hint="eastAsia"/>
                <w:lang w:val="en-US" w:eastAsia="zh-CN"/>
              </w:rPr>
              <w:t>办公室无明显噪声和异味，无废气排放；</w:t>
            </w:r>
          </w:p>
          <w:p>
            <w:pPr>
              <w:spacing w:line="360" w:lineRule="auto"/>
              <w:ind w:firstLine="420" w:firstLineChars="200"/>
              <w:rPr>
                <w:rFonts w:hint="eastAsia"/>
                <w:lang w:val="en-US" w:eastAsia="zh-CN"/>
              </w:rPr>
            </w:pPr>
            <w:r>
              <w:rPr>
                <w:rFonts w:hint="eastAsia"/>
                <w:lang w:val="en-US" w:eastAsia="zh-CN"/>
              </w:rPr>
              <w:t>生活废水经市政管网排放；</w:t>
            </w:r>
          </w:p>
          <w:p>
            <w:pPr>
              <w:spacing w:line="360" w:lineRule="auto"/>
              <w:ind w:firstLine="420" w:firstLineChars="200"/>
              <w:rPr>
                <w:rFonts w:hint="eastAsia"/>
                <w:lang w:val="en-US" w:eastAsia="zh-CN"/>
              </w:rPr>
            </w:pPr>
            <w:r>
              <w:rPr>
                <w:rFonts w:hint="eastAsia"/>
                <w:lang w:val="en-US" w:eastAsia="zh-CN"/>
              </w:rPr>
              <w:t>按公司要求人走关灯，电脑要求人走后电源切断；</w:t>
            </w:r>
          </w:p>
          <w:p>
            <w:pPr>
              <w:spacing w:line="360" w:lineRule="auto"/>
              <w:ind w:firstLine="420" w:firstLineChars="200"/>
              <w:rPr>
                <w:rFonts w:hint="default"/>
                <w:lang w:val="en-US" w:eastAsia="zh-CN"/>
              </w:rPr>
            </w:pPr>
            <w:r>
              <w:rPr>
                <w:rFonts w:hint="eastAsia"/>
                <w:lang w:val="en-US" w:eastAsia="zh-CN"/>
              </w:rPr>
              <w:t>节约用水用电、纸张双面使用；</w:t>
            </w:r>
          </w:p>
          <w:p>
            <w:pPr>
              <w:spacing w:line="360" w:lineRule="auto"/>
              <w:ind w:firstLine="420" w:firstLineChars="200"/>
              <w:rPr>
                <w:rFonts w:hint="eastAsia"/>
                <w:highlight w:val="none"/>
                <w:lang w:val="en-US" w:eastAsia="zh-CN"/>
              </w:rPr>
            </w:pPr>
            <w:r>
              <w:rPr>
                <w:rFonts w:hint="eastAsia"/>
                <w:highlight w:val="none"/>
                <w:lang w:val="en-US" w:eastAsia="zh-CN"/>
              </w:rPr>
              <w:t>办公区域配备了灭火器材；</w:t>
            </w:r>
          </w:p>
          <w:p>
            <w:pPr>
              <w:spacing w:line="360" w:lineRule="auto"/>
              <w:ind w:firstLine="420" w:firstLineChars="200"/>
              <w:rPr>
                <w:rFonts w:hint="eastAsia"/>
                <w:lang w:val="en-US" w:eastAsia="zh-CN"/>
              </w:rPr>
            </w:pPr>
            <w:r>
              <w:rPr>
                <w:rFonts w:hint="eastAsia"/>
                <w:lang w:val="en-US" w:eastAsia="zh-CN"/>
              </w:rPr>
              <w:t>办公室内主要是电的使用，现场查看电路、电源正常，无乱拉乱接电线、使用超额电气等现象；</w:t>
            </w:r>
          </w:p>
          <w:p>
            <w:pPr>
              <w:spacing w:line="360" w:lineRule="auto"/>
              <w:ind w:firstLine="420"/>
              <w:rPr>
                <w:rFonts w:hint="default"/>
                <w:lang w:val="en-US" w:eastAsia="zh-CN"/>
              </w:rPr>
            </w:pPr>
            <w:r>
              <w:rPr>
                <w:rFonts w:hint="eastAsia"/>
                <w:lang w:val="en-US" w:eastAsia="zh-CN"/>
              </w:rPr>
              <w:t>现场观察，生产现场：</w:t>
            </w:r>
          </w:p>
          <w:p>
            <w:pPr>
              <w:spacing w:line="360" w:lineRule="auto"/>
              <w:ind w:firstLine="420"/>
              <w:rPr>
                <w:rFonts w:hint="eastAsia"/>
                <w:szCs w:val="22"/>
                <w:lang w:val="en-US" w:eastAsia="zh-CN"/>
              </w:rPr>
            </w:pPr>
            <w:r>
              <w:rPr>
                <w:rFonts w:hint="eastAsia"/>
                <w:szCs w:val="22"/>
                <w:lang w:val="en-US" w:eastAsia="zh-CN"/>
              </w:rPr>
              <w:t>车间开阔，挑高12米，占地面积2700余平方米，通风良好，自然采光；</w:t>
            </w:r>
          </w:p>
          <w:p>
            <w:pPr>
              <w:spacing w:line="360" w:lineRule="auto"/>
              <w:ind w:firstLine="420"/>
              <w:rPr>
                <w:rFonts w:hint="eastAsia"/>
                <w:szCs w:val="22"/>
                <w:lang w:val="en-US" w:eastAsia="zh-CN"/>
              </w:rPr>
            </w:pPr>
            <w:r>
              <w:rPr>
                <w:rFonts w:hint="eastAsia"/>
                <w:szCs w:val="22"/>
                <w:lang w:val="en-US" w:eastAsia="zh-CN"/>
              </w:rPr>
              <w:t>袋装原材料分类堆放在木制托盘上，靠墙间距不满足堆放要求，交流；</w:t>
            </w:r>
          </w:p>
          <w:p>
            <w:pPr>
              <w:spacing w:line="360" w:lineRule="auto"/>
              <w:ind w:firstLine="420"/>
              <w:rPr>
                <w:rFonts w:hint="default"/>
                <w:szCs w:val="22"/>
                <w:lang w:val="en-US" w:eastAsia="zh-CN"/>
              </w:rPr>
            </w:pPr>
            <w:r>
              <w:rPr>
                <w:rFonts w:hint="eastAsia"/>
                <w:szCs w:val="22"/>
                <w:lang w:val="en-US" w:eastAsia="zh-CN"/>
              </w:rPr>
              <w:t>双氧水原厂塑料桶装、丙烯酸原厂塑料桶装，分区存放，提供安全技术说明书、备有防酸作业服、防酸手套、呼吸器、安全帽、防酸鞋等；</w:t>
            </w:r>
          </w:p>
          <w:p>
            <w:pPr>
              <w:spacing w:line="360" w:lineRule="auto"/>
              <w:ind w:firstLine="420"/>
              <w:rPr>
                <w:rFonts w:hint="eastAsia"/>
                <w:szCs w:val="22"/>
                <w:lang w:val="en-US" w:eastAsia="zh-CN"/>
              </w:rPr>
            </w:pPr>
            <w:r>
              <w:rPr>
                <w:rFonts w:hint="eastAsia"/>
                <w:szCs w:val="22"/>
                <w:lang w:val="en-US" w:eastAsia="zh-CN"/>
              </w:rPr>
              <w:t>投料口位于二层操作台，有高处作业注意安全的警示标识，作业人员穿工作服作业；投料口和反应釜盖口安装有集气罩，通过抽排系统将废气和粉尘抽排，经排气筒有组织排放；半成品通过管道输送至储存罐中储存。</w:t>
            </w:r>
          </w:p>
          <w:p>
            <w:pPr>
              <w:spacing w:line="360" w:lineRule="auto"/>
              <w:ind w:firstLine="420"/>
              <w:rPr>
                <w:rFonts w:hint="default"/>
                <w:szCs w:val="22"/>
                <w:lang w:val="en-US" w:eastAsia="zh-CN"/>
              </w:rPr>
            </w:pPr>
            <w:r>
              <w:rPr>
                <w:rFonts w:hint="eastAsia"/>
                <w:szCs w:val="22"/>
                <w:lang w:val="en-US" w:eastAsia="zh-CN"/>
              </w:rPr>
              <w:t>丙烯酸存储库房门口张贴有安全技术说明书，描述了存储物质的物理特性、毒性、防护要求、应急处置措施等；空气中有少量刺激性气味；</w:t>
            </w:r>
          </w:p>
          <w:p>
            <w:pPr>
              <w:spacing w:line="360" w:lineRule="auto"/>
              <w:ind w:firstLine="420"/>
              <w:rPr>
                <w:rFonts w:hint="default"/>
                <w:highlight w:val="yellow"/>
                <w:lang w:val="en-US" w:eastAsia="zh-CN"/>
              </w:rPr>
            </w:pPr>
            <w:r>
              <w:rPr>
                <w:rFonts w:hint="eastAsia"/>
                <w:szCs w:val="22"/>
                <w:lang w:val="en-US" w:eastAsia="zh-CN"/>
              </w:rPr>
              <w:t>介绍说，成品根据客户要求进行试验后调整配比；</w:t>
            </w:r>
          </w:p>
          <w:p>
            <w:pPr>
              <w:spacing w:line="360" w:lineRule="auto"/>
              <w:ind w:firstLine="420"/>
              <w:rPr>
                <w:rFonts w:hint="eastAsia"/>
                <w:szCs w:val="22"/>
                <w:lang w:val="en-US" w:eastAsia="zh-CN"/>
              </w:rPr>
            </w:pPr>
            <w:r>
              <w:rPr>
                <w:rFonts w:hint="eastAsia"/>
                <w:szCs w:val="22"/>
                <w:lang w:val="en-US" w:eastAsia="zh-CN"/>
              </w:rPr>
              <w:t>废水控制：直接自来水并定量配比，不产生生产废水；</w:t>
            </w:r>
          </w:p>
          <w:p>
            <w:pPr>
              <w:spacing w:line="360" w:lineRule="auto"/>
              <w:ind w:firstLine="420"/>
              <w:rPr>
                <w:rFonts w:hint="eastAsia"/>
                <w:szCs w:val="22"/>
                <w:lang w:val="en-US" w:eastAsia="zh-CN"/>
              </w:rPr>
            </w:pPr>
            <w:r>
              <w:rPr>
                <w:rFonts w:hint="eastAsia"/>
                <w:szCs w:val="22"/>
                <w:lang w:val="en-US" w:eastAsia="zh-CN"/>
              </w:rPr>
              <w:t>噪声控制：</w:t>
            </w:r>
            <w:r>
              <w:rPr>
                <w:rFonts w:hint="eastAsia" w:ascii="宋体" w:hAnsi="宋体"/>
                <w:color w:val="000000"/>
                <w:sz w:val="24"/>
              </w:rPr>
              <w:t>机械设备生产噪声，主要为反应釜搅拌及开盖废气排气筒风机运转等产生的噪声主要通过设备隔振、车间隔声消声、风机的治理降低噪声强度</w:t>
            </w:r>
            <w:r>
              <w:rPr>
                <w:rFonts w:hint="eastAsia"/>
                <w:szCs w:val="22"/>
                <w:lang w:val="en-US" w:eastAsia="zh-CN"/>
              </w:rPr>
              <w:t>；</w:t>
            </w:r>
          </w:p>
          <w:p>
            <w:pPr>
              <w:spacing w:line="360" w:lineRule="auto"/>
              <w:ind w:firstLine="420"/>
              <w:rPr>
                <w:rFonts w:hint="default"/>
                <w:szCs w:val="22"/>
                <w:lang w:val="en-US" w:eastAsia="zh-CN"/>
              </w:rPr>
            </w:pPr>
            <w:r>
              <w:rPr>
                <w:rFonts w:hint="eastAsia"/>
                <w:szCs w:val="22"/>
                <w:lang w:val="en-US" w:eastAsia="zh-CN"/>
              </w:rPr>
              <w:t>废气/粉尘：反应釜混合过程是密闭的，仅反应釜开盖时有少量废气，间断性外排。废气主要含有机废气非甲烷总烃、水蒸气，通过在反应釜上方设集气罩并通过15米高排气筒排放。</w:t>
            </w:r>
          </w:p>
          <w:p>
            <w:pPr>
              <w:spacing w:line="360" w:lineRule="auto"/>
              <w:ind w:firstLine="420"/>
              <w:rPr>
                <w:rFonts w:hint="default"/>
                <w:lang w:val="en-US" w:eastAsia="zh-CN"/>
              </w:rPr>
            </w:pPr>
            <w:r>
              <w:rPr>
                <w:rFonts w:hint="eastAsia"/>
                <w:szCs w:val="22"/>
                <w:lang w:val="en-US" w:eastAsia="zh-CN"/>
              </w:rPr>
              <w:t>固废控制：一般外包装物和普通固废</w:t>
            </w:r>
            <w:r>
              <w:rPr>
                <w:rFonts w:hint="eastAsia"/>
                <w:lang w:val="en-US" w:eastAsia="zh-CN"/>
              </w:rPr>
              <w:t>由废品公司回收；</w:t>
            </w:r>
            <w:r>
              <w:rPr>
                <w:rFonts w:hint="eastAsia"/>
                <w:szCs w:val="22"/>
                <w:lang w:val="en-US" w:eastAsia="zh-CN"/>
              </w:rPr>
              <w:t>原料包装桶暂存在危废存储间，由供应商回收；</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60" w:type="dxa"/>
          </w:tcPr>
          <w:p>
            <w:pPr>
              <w:rPr>
                <w:rFonts w:hint="eastAsia"/>
                <w:sz w:val="21"/>
                <w:szCs w:val="21"/>
              </w:rPr>
            </w:pPr>
            <w:r>
              <w:rPr>
                <w:rFonts w:hint="eastAsia"/>
                <w:sz w:val="21"/>
                <w:szCs w:val="21"/>
              </w:rPr>
              <w:t>必要时检查环境评价、安全评价、消防验收等情况.</w:t>
            </w:r>
          </w:p>
        </w:tc>
        <w:tc>
          <w:tcPr>
            <w:tcW w:w="960" w:type="dxa"/>
          </w:tcPr>
          <w:p/>
        </w:tc>
        <w:tc>
          <w:tcPr>
            <w:tcW w:w="10004" w:type="dxa"/>
          </w:tcPr>
          <w:p>
            <w:pPr>
              <w:ind w:firstLine="420" w:firstLineChars="200"/>
              <w:rPr>
                <w:rFonts w:hint="default" w:eastAsia="宋体"/>
                <w:lang w:val="en-US" w:eastAsia="zh-CN"/>
              </w:rPr>
            </w:pPr>
            <w:r>
              <w:rPr>
                <w:rFonts w:hint="eastAsia"/>
                <w:lang w:val="en-US" w:eastAsia="zh-CN"/>
              </w:rPr>
              <w:t>保持有环评报告及验收资料，详见附件。</w:t>
            </w:r>
          </w:p>
        </w:tc>
        <w:tc>
          <w:tcPr>
            <w:tcW w:w="1585"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验证资质</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经查验营业执照有效。信用平台查询，无不良信息。</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国家/地方抽查、顾客满意、相关方投诉处理</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自体系建立以来，未受到上级主管部门有关质量、环境问题、职业健康安全的行政处罚。</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未发生相关方的投诉。</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暂时没有国家/地方抽查情况。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识别二阶段审核的资源配置情况和可行性</w:t>
            </w:r>
          </w:p>
        </w:tc>
        <w:tc>
          <w:tcPr>
            <w:tcW w:w="960" w:type="dxa"/>
          </w:tcPr>
          <w:p/>
        </w:tc>
        <w:tc>
          <w:tcPr>
            <w:tcW w:w="10004" w:type="dxa"/>
            <w:vAlign w:val="top"/>
          </w:tcPr>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有</w:t>
            </w:r>
            <w:r>
              <w:rPr>
                <w:rFonts w:hint="eastAsia" w:cs="Times New Roman"/>
                <w:szCs w:val="22"/>
                <w:lang w:val="en-US" w:eastAsia="zh-CN"/>
              </w:rPr>
              <w:t>项目</w:t>
            </w:r>
            <w:r>
              <w:rPr>
                <w:rFonts w:hint="eastAsia" w:ascii="Times New Roman" w:hAnsi="Times New Roman" w:eastAsia="宋体" w:cs="Times New Roman"/>
                <w:szCs w:val="22"/>
                <w:lang w:val="en-US" w:eastAsia="zh-CN"/>
              </w:rPr>
              <w:t>现场、领导层可以迎审、二阶段日期可接受、不存在影响二阶段审核的问题。</w:t>
            </w:r>
          </w:p>
          <w:p>
            <w:pPr>
              <w:spacing w:line="360" w:lineRule="auto"/>
              <w:ind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二阶段审核所需资源满足要求。</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812A2"/>
    <w:rsid w:val="09976AAB"/>
    <w:rsid w:val="0FC301F6"/>
    <w:rsid w:val="1254644A"/>
    <w:rsid w:val="16B643E2"/>
    <w:rsid w:val="201C556F"/>
    <w:rsid w:val="24046B5F"/>
    <w:rsid w:val="3DD70D55"/>
    <w:rsid w:val="406016F8"/>
    <w:rsid w:val="40DB4D80"/>
    <w:rsid w:val="41CF07BE"/>
    <w:rsid w:val="47666B26"/>
    <w:rsid w:val="510809D6"/>
    <w:rsid w:val="58BE5B60"/>
    <w:rsid w:val="59A7561C"/>
    <w:rsid w:val="6E021251"/>
    <w:rsid w:val="768045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pPr>
  </w:style>
  <w:style w:type="paragraph" w:styleId="4">
    <w:name w:val="Plain Text"/>
    <w:basedOn w:val="1"/>
    <w:qFormat/>
    <w:uiPriority w:val="0"/>
    <w:rPr>
      <w:rFonts w:ascii="宋体" w:hAnsi="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7"/>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2021-07-03T03:30:28Z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