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江西博莱大药厂有限公司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1218"/>
        <w:gridCol w:w="990"/>
        <w:gridCol w:w="2328"/>
        <w:gridCol w:w="1134"/>
        <w:gridCol w:w="708"/>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1"/>
                <w:szCs w:val="21"/>
              </w:rPr>
            </w:pPr>
            <w:r>
              <w:rPr>
                <w:rFonts w:hint="eastAsia"/>
                <w:b/>
                <w:color w:val="000000" w:themeColor="text1"/>
                <w:sz w:val="21"/>
                <w:szCs w:val="21"/>
              </w:rPr>
              <w:t>审核方名称</w:t>
            </w:r>
          </w:p>
        </w:tc>
        <w:tc>
          <w:tcPr>
            <w:tcW w:w="8166" w:type="dxa"/>
            <w:gridSpan w:val="7"/>
            <w:vAlign w:val="center"/>
          </w:tcPr>
          <w:p>
            <w:pPr>
              <w:rPr>
                <w:b/>
                <w:color w:val="000000" w:themeColor="text1"/>
                <w:sz w:val="21"/>
                <w:szCs w:val="21"/>
              </w:rPr>
            </w:pPr>
            <w:r>
              <w:rPr>
                <w:rFonts w:hint="eastAsia"/>
                <w:b/>
                <w:color w:val="000000" w:themeColor="text1"/>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1"/>
                <w:szCs w:val="21"/>
              </w:rPr>
            </w:pPr>
            <w:r>
              <w:rPr>
                <w:rFonts w:hint="eastAsia"/>
                <w:b/>
                <w:color w:val="000000" w:themeColor="text1"/>
                <w:sz w:val="21"/>
                <w:szCs w:val="21"/>
              </w:rPr>
              <w:t>审核方地址</w:t>
            </w:r>
          </w:p>
        </w:tc>
        <w:tc>
          <w:tcPr>
            <w:tcW w:w="5817" w:type="dxa"/>
            <w:gridSpan w:val="5"/>
            <w:vAlign w:val="center"/>
          </w:tcPr>
          <w:p>
            <w:pPr>
              <w:rPr>
                <w:b/>
                <w:color w:val="000000" w:themeColor="text1"/>
                <w:sz w:val="21"/>
                <w:szCs w:val="21"/>
              </w:rPr>
            </w:pPr>
            <w:r>
              <w:rPr>
                <w:rFonts w:hint="eastAsia"/>
                <w:b/>
                <w:color w:val="000000" w:themeColor="text1"/>
                <w:sz w:val="21"/>
                <w:szCs w:val="21"/>
              </w:rPr>
              <w:t>北京市朝阳区北苑路168号1号楼16层1603</w:t>
            </w:r>
          </w:p>
        </w:tc>
        <w:tc>
          <w:tcPr>
            <w:tcW w:w="708" w:type="dxa"/>
            <w:vAlign w:val="center"/>
          </w:tcPr>
          <w:p>
            <w:pPr>
              <w:rPr>
                <w:b/>
                <w:color w:val="000000" w:themeColor="text1"/>
                <w:sz w:val="21"/>
                <w:szCs w:val="21"/>
              </w:rPr>
            </w:pPr>
            <w:r>
              <w:rPr>
                <w:rFonts w:hint="eastAsia"/>
                <w:b/>
                <w:color w:val="000000" w:themeColor="text1"/>
                <w:sz w:val="21"/>
                <w:szCs w:val="21"/>
              </w:rPr>
              <w:t>邮编</w:t>
            </w:r>
          </w:p>
        </w:tc>
        <w:tc>
          <w:tcPr>
            <w:tcW w:w="1641" w:type="dxa"/>
            <w:vAlign w:val="center"/>
          </w:tcPr>
          <w:p>
            <w:pPr>
              <w:rPr>
                <w:b/>
                <w:color w:val="000000" w:themeColor="text1"/>
                <w:sz w:val="21"/>
                <w:szCs w:val="21"/>
              </w:rPr>
            </w:pPr>
            <w:r>
              <w:rPr>
                <w:rFonts w:hint="eastAsia"/>
                <w:b/>
                <w:color w:val="000000" w:themeColor="text1"/>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1"/>
                <w:szCs w:val="21"/>
              </w:rPr>
            </w:pPr>
            <w:r>
              <w:rPr>
                <w:rFonts w:hint="eastAsia"/>
                <w:b/>
                <w:color w:val="000000" w:themeColor="text1"/>
                <w:sz w:val="21"/>
                <w:szCs w:val="21"/>
              </w:rPr>
              <w:t>联系电话</w:t>
            </w:r>
          </w:p>
        </w:tc>
        <w:tc>
          <w:tcPr>
            <w:tcW w:w="4683" w:type="dxa"/>
            <w:gridSpan w:val="4"/>
            <w:vAlign w:val="center"/>
          </w:tcPr>
          <w:p>
            <w:pPr>
              <w:rPr>
                <w:color w:val="000000" w:themeColor="text1"/>
                <w:sz w:val="21"/>
                <w:szCs w:val="21"/>
              </w:rPr>
            </w:pPr>
            <w:r>
              <w:rPr>
                <w:rFonts w:hint="eastAsia"/>
                <w:color w:val="000000" w:themeColor="text1"/>
                <w:sz w:val="21"/>
                <w:szCs w:val="21"/>
              </w:rPr>
              <w:t>010-5351 6278</w:t>
            </w:r>
          </w:p>
        </w:tc>
        <w:tc>
          <w:tcPr>
            <w:tcW w:w="1134" w:type="dxa"/>
            <w:vAlign w:val="center"/>
          </w:tcPr>
          <w:p>
            <w:pPr>
              <w:rPr>
                <w:b/>
                <w:color w:val="000000" w:themeColor="text1"/>
                <w:sz w:val="21"/>
                <w:szCs w:val="21"/>
              </w:rPr>
            </w:pPr>
            <w:r>
              <w:rPr>
                <w:rFonts w:hint="eastAsia"/>
                <w:b/>
                <w:color w:val="000000" w:themeColor="text1"/>
                <w:sz w:val="21"/>
                <w:szCs w:val="21"/>
              </w:rPr>
              <w:t>邮箱</w:t>
            </w:r>
          </w:p>
        </w:tc>
        <w:tc>
          <w:tcPr>
            <w:tcW w:w="2349" w:type="dxa"/>
            <w:gridSpan w:val="2"/>
            <w:vAlign w:val="center"/>
          </w:tcPr>
          <w:p>
            <w:pPr>
              <w:rPr>
                <w:color w:val="000000" w:themeColor="text1"/>
                <w:sz w:val="21"/>
                <w:szCs w:val="21"/>
              </w:rPr>
            </w:pPr>
            <w:r>
              <w:rPr>
                <w:color w:val="000000" w:themeColor="text1"/>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8"/>
            <w:vAlign w:val="center"/>
          </w:tcPr>
          <w:p>
            <w:pPr>
              <w:rPr>
                <w:b/>
                <w:color w:val="000000" w:themeColor="text1"/>
                <w:sz w:val="21"/>
                <w:szCs w:val="21"/>
              </w:rPr>
            </w:pPr>
            <w:r>
              <w:rPr>
                <w:rFonts w:hint="eastAsia"/>
                <w:b/>
                <w:color w:val="000000" w:themeColor="text1"/>
                <w:sz w:val="21"/>
                <w:szCs w:val="21"/>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844" w:type="dxa"/>
            <w:gridSpan w:val="2"/>
            <w:vAlign w:val="center"/>
          </w:tcPr>
          <w:p>
            <w:pPr>
              <w:spacing w:line="360" w:lineRule="auto"/>
              <w:jc w:val="center"/>
              <w:rPr>
                <w:b/>
                <w:color w:val="000000" w:themeColor="text1"/>
                <w:sz w:val="21"/>
                <w:szCs w:val="21"/>
              </w:rPr>
            </w:pPr>
            <w:r>
              <w:rPr>
                <w:rFonts w:hint="eastAsia"/>
                <w:sz w:val="21"/>
                <w:szCs w:val="21"/>
              </w:rPr>
              <w:t>姓名</w:t>
            </w:r>
          </w:p>
        </w:tc>
        <w:tc>
          <w:tcPr>
            <w:tcW w:w="1218" w:type="dxa"/>
            <w:vAlign w:val="center"/>
          </w:tcPr>
          <w:p>
            <w:pPr>
              <w:spacing w:line="360" w:lineRule="auto"/>
              <w:jc w:val="center"/>
              <w:rPr>
                <w:b/>
                <w:color w:val="000000" w:themeColor="text1"/>
                <w:sz w:val="21"/>
                <w:szCs w:val="21"/>
              </w:rPr>
            </w:pPr>
            <w:r>
              <w:rPr>
                <w:rFonts w:hint="eastAsia"/>
                <w:sz w:val="21"/>
                <w:szCs w:val="21"/>
              </w:rPr>
              <w:t>组内身份</w:t>
            </w:r>
          </w:p>
        </w:tc>
        <w:tc>
          <w:tcPr>
            <w:tcW w:w="990" w:type="dxa"/>
            <w:vAlign w:val="center"/>
          </w:tcPr>
          <w:p>
            <w:pPr>
              <w:spacing w:line="360" w:lineRule="auto"/>
              <w:jc w:val="center"/>
              <w:rPr>
                <w:b/>
                <w:color w:val="000000" w:themeColor="text1"/>
                <w:sz w:val="21"/>
                <w:szCs w:val="21"/>
              </w:rPr>
            </w:pPr>
            <w:r>
              <w:rPr>
                <w:rFonts w:hint="eastAsia"/>
                <w:sz w:val="21"/>
                <w:szCs w:val="21"/>
              </w:rPr>
              <w:t>性别</w:t>
            </w:r>
          </w:p>
        </w:tc>
        <w:tc>
          <w:tcPr>
            <w:tcW w:w="3462" w:type="dxa"/>
            <w:gridSpan w:val="2"/>
            <w:vAlign w:val="center"/>
          </w:tcPr>
          <w:p>
            <w:pPr>
              <w:spacing w:line="360" w:lineRule="auto"/>
              <w:jc w:val="center"/>
              <w:rPr>
                <w:b/>
                <w:color w:val="000000" w:themeColor="text1"/>
                <w:sz w:val="21"/>
                <w:szCs w:val="21"/>
              </w:rPr>
            </w:pPr>
            <w:r>
              <w:rPr>
                <w:rFonts w:hint="eastAsia"/>
                <w:sz w:val="21"/>
                <w:szCs w:val="21"/>
              </w:rPr>
              <w:t>注册资格</w:t>
            </w:r>
          </w:p>
        </w:tc>
        <w:tc>
          <w:tcPr>
            <w:tcW w:w="2349" w:type="dxa"/>
            <w:gridSpan w:val="2"/>
            <w:vAlign w:val="center"/>
          </w:tcPr>
          <w:p>
            <w:pPr>
              <w:spacing w:line="360" w:lineRule="auto"/>
              <w:jc w:val="center"/>
              <w:rPr>
                <w:b/>
                <w:color w:val="000000" w:themeColor="text1"/>
                <w:sz w:val="21"/>
                <w:szCs w:val="21"/>
              </w:rPr>
            </w:pPr>
            <w:r>
              <w:rPr>
                <w:rFonts w:hint="eastAsia"/>
                <w:sz w:val="21"/>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844" w:type="dxa"/>
            <w:gridSpan w:val="2"/>
            <w:vAlign w:val="center"/>
          </w:tcPr>
          <w:p>
            <w:pPr>
              <w:spacing w:line="360" w:lineRule="auto"/>
              <w:jc w:val="center"/>
              <w:rPr>
                <w:b/>
                <w:color w:val="000000" w:themeColor="text1"/>
                <w:sz w:val="21"/>
                <w:szCs w:val="21"/>
              </w:rPr>
            </w:pPr>
            <w:r>
              <w:rPr>
                <w:b/>
                <w:color w:val="000000" w:themeColor="text1"/>
                <w:sz w:val="21"/>
                <w:szCs w:val="21"/>
              </w:rPr>
              <w:t>褚敏杰</w:t>
            </w:r>
          </w:p>
        </w:tc>
        <w:tc>
          <w:tcPr>
            <w:tcW w:w="1218" w:type="dxa"/>
            <w:vAlign w:val="center"/>
          </w:tcPr>
          <w:p>
            <w:pPr>
              <w:spacing w:line="360" w:lineRule="auto"/>
              <w:jc w:val="center"/>
              <w:rPr>
                <w:b/>
                <w:color w:val="000000" w:themeColor="text1"/>
                <w:sz w:val="21"/>
                <w:szCs w:val="21"/>
              </w:rPr>
            </w:pPr>
            <w:r>
              <w:rPr>
                <w:b/>
                <w:color w:val="000000" w:themeColor="text1"/>
                <w:sz w:val="21"/>
                <w:szCs w:val="21"/>
              </w:rPr>
              <w:t>组长</w:t>
            </w:r>
          </w:p>
        </w:tc>
        <w:tc>
          <w:tcPr>
            <w:tcW w:w="990" w:type="dxa"/>
            <w:vAlign w:val="center"/>
          </w:tcPr>
          <w:p>
            <w:pPr>
              <w:spacing w:line="360" w:lineRule="auto"/>
              <w:jc w:val="center"/>
              <w:rPr>
                <w:b/>
                <w:color w:val="000000" w:themeColor="text1"/>
                <w:sz w:val="21"/>
                <w:szCs w:val="21"/>
              </w:rPr>
            </w:pPr>
            <w:r>
              <w:rPr>
                <w:b/>
                <w:color w:val="000000" w:themeColor="text1"/>
                <w:sz w:val="21"/>
                <w:szCs w:val="21"/>
              </w:rPr>
              <w:t>男</w:t>
            </w:r>
          </w:p>
        </w:tc>
        <w:tc>
          <w:tcPr>
            <w:tcW w:w="3462" w:type="dxa"/>
            <w:gridSpan w:val="2"/>
            <w:vAlign w:val="center"/>
          </w:tcPr>
          <w:p>
            <w:pPr>
              <w:spacing w:line="360" w:lineRule="auto"/>
              <w:jc w:val="center"/>
              <w:rPr>
                <w:b/>
                <w:color w:val="000000" w:themeColor="text1"/>
                <w:sz w:val="21"/>
                <w:szCs w:val="21"/>
              </w:rPr>
            </w:pPr>
            <w:r>
              <w:rPr>
                <w:b/>
                <w:color w:val="000000" w:themeColor="text1"/>
                <w:sz w:val="21"/>
                <w:szCs w:val="21"/>
              </w:rPr>
              <w:t>审核员</w:t>
            </w:r>
          </w:p>
        </w:tc>
        <w:tc>
          <w:tcPr>
            <w:tcW w:w="2349" w:type="dxa"/>
            <w:gridSpan w:val="2"/>
            <w:vAlign w:val="center"/>
          </w:tcPr>
          <w:p>
            <w:pPr>
              <w:spacing w:line="360" w:lineRule="auto"/>
              <w:jc w:val="center"/>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4" w:type="dxa"/>
            <w:gridSpan w:val="2"/>
            <w:vAlign w:val="center"/>
          </w:tcPr>
          <w:p>
            <w:pPr>
              <w:spacing w:line="360" w:lineRule="auto"/>
              <w:jc w:val="center"/>
              <w:rPr>
                <w:b/>
                <w:color w:val="000000" w:themeColor="text1"/>
                <w:sz w:val="21"/>
                <w:szCs w:val="21"/>
              </w:rPr>
            </w:pPr>
            <w:r>
              <w:rPr>
                <w:b/>
                <w:color w:val="000000" w:themeColor="text1"/>
                <w:sz w:val="21"/>
                <w:szCs w:val="21"/>
              </w:rPr>
              <w:t>王景玲</w:t>
            </w:r>
          </w:p>
        </w:tc>
        <w:tc>
          <w:tcPr>
            <w:tcW w:w="1218" w:type="dxa"/>
            <w:vAlign w:val="center"/>
          </w:tcPr>
          <w:p>
            <w:pPr>
              <w:spacing w:line="360" w:lineRule="auto"/>
              <w:jc w:val="center"/>
              <w:rPr>
                <w:b/>
                <w:color w:val="000000" w:themeColor="text1"/>
                <w:sz w:val="21"/>
                <w:szCs w:val="21"/>
              </w:rPr>
            </w:pPr>
            <w:r>
              <w:rPr>
                <w:b/>
                <w:color w:val="000000" w:themeColor="text1"/>
                <w:sz w:val="21"/>
                <w:szCs w:val="21"/>
              </w:rPr>
              <w:t>组员</w:t>
            </w:r>
          </w:p>
        </w:tc>
        <w:tc>
          <w:tcPr>
            <w:tcW w:w="990" w:type="dxa"/>
            <w:vAlign w:val="center"/>
          </w:tcPr>
          <w:p>
            <w:pPr>
              <w:spacing w:line="360" w:lineRule="auto"/>
              <w:jc w:val="center"/>
              <w:rPr>
                <w:b/>
                <w:color w:val="000000" w:themeColor="text1"/>
                <w:sz w:val="21"/>
                <w:szCs w:val="21"/>
              </w:rPr>
            </w:pPr>
            <w:r>
              <w:rPr>
                <w:b/>
                <w:color w:val="000000" w:themeColor="text1"/>
                <w:sz w:val="21"/>
                <w:szCs w:val="21"/>
              </w:rPr>
              <w:t>女</w:t>
            </w:r>
          </w:p>
        </w:tc>
        <w:tc>
          <w:tcPr>
            <w:tcW w:w="3462" w:type="dxa"/>
            <w:gridSpan w:val="2"/>
            <w:vAlign w:val="center"/>
          </w:tcPr>
          <w:p>
            <w:pPr>
              <w:spacing w:line="360" w:lineRule="auto"/>
              <w:jc w:val="center"/>
              <w:rPr>
                <w:b/>
                <w:color w:val="000000" w:themeColor="text1"/>
                <w:sz w:val="21"/>
                <w:szCs w:val="21"/>
              </w:rPr>
            </w:pPr>
            <w:r>
              <w:rPr>
                <w:b/>
                <w:color w:val="000000" w:themeColor="text1"/>
                <w:sz w:val="21"/>
                <w:szCs w:val="21"/>
              </w:rPr>
              <w:t>审核员</w:t>
            </w:r>
          </w:p>
        </w:tc>
        <w:tc>
          <w:tcPr>
            <w:tcW w:w="2349" w:type="dxa"/>
            <w:gridSpan w:val="2"/>
            <w:vAlign w:val="center"/>
          </w:tcPr>
          <w:p>
            <w:pPr>
              <w:spacing w:line="360" w:lineRule="auto"/>
              <w:jc w:val="center"/>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4" w:type="dxa"/>
            <w:gridSpan w:val="2"/>
            <w:vAlign w:val="center"/>
          </w:tcPr>
          <w:p>
            <w:pPr>
              <w:spacing w:line="360" w:lineRule="auto"/>
              <w:jc w:val="center"/>
              <w:rPr>
                <w:b/>
                <w:color w:val="000000" w:themeColor="text1"/>
                <w:sz w:val="21"/>
                <w:szCs w:val="21"/>
              </w:rPr>
            </w:pPr>
            <w:r>
              <w:rPr>
                <w:b/>
                <w:color w:val="000000" w:themeColor="text1"/>
                <w:sz w:val="21"/>
                <w:szCs w:val="21"/>
              </w:rPr>
              <w:t>肖兴丽</w:t>
            </w:r>
          </w:p>
        </w:tc>
        <w:tc>
          <w:tcPr>
            <w:tcW w:w="1218" w:type="dxa"/>
            <w:vAlign w:val="center"/>
          </w:tcPr>
          <w:p>
            <w:pPr>
              <w:spacing w:line="360" w:lineRule="auto"/>
              <w:jc w:val="center"/>
              <w:rPr>
                <w:b/>
                <w:color w:val="000000" w:themeColor="text1"/>
                <w:sz w:val="21"/>
                <w:szCs w:val="21"/>
              </w:rPr>
            </w:pPr>
            <w:r>
              <w:rPr>
                <w:b/>
                <w:color w:val="000000" w:themeColor="text1"/>
                <w:sz w:val="21"/>
                <w:szCs w:val="21"/>
              </w:rPr>
              <w:t>组员</w:t>
            </w:r>
          </w:p>
        </w:tc>
        <w:tc>
          <w:tcPr>
            <w:tcW w:w="990" w:type="dxa"/>
            <w:vAlign w:val="center"/>
          </w:tcPr>
          <w:p>
            <w:pPr>
              <w:spacing w:line="360" w:lineRule="auto"/>
              <w:jc w:val="center"/>
              <w:rPr>
                <w:b/>
                <w:color w:val="000000" w:themeColor="text1"/>
                <w:sz w:val="21"/>
                <w:szCs w:val="21"/>
              </w:rPr>
            </w:pPr>
            <w:r>
              <w:rPr>
                <w:b/>
                <w:color w:val="000000" w:themeColor="text1"/>
                <w:sz w:val="21"/>
                <w:szCs w:val="21"/>
              </w:rPr>
              <w:t>男</w:t>
            </w:r>
          </w:p>
        </w:tc>
        <w:tc>
          <w:tcPr>
            <w:tcW w:w="3462" w:type="dxa"/>
            <w:gridSpan w:val="2"/>
            <w:vAlign w:val="center"/>
          </w:tcPr>
          <w:p>
            <w:pPr>
              <w:spacing w:line="360" w:lineRule="auto"/>
              <w:jc w:val="center"/>
              <w:rPr>
                <w:b/>
                <w:color w:val="000000" w:themeColor="text1"/>
                <w:sz w:val="21"/>
                <w:szCs w:val="21"/>
              </w:rPr>
            </w:pPr>
            <w:r>
              <w:rPr>
                <w:b/>
                <w:color w:val="000000" w:themeColor="text1"/>
                <w:sz w:val="21"/>
                <w:szCs w:val="21"/>
              </w:rPr>
              <w:t>专家</w:t>
            </w:r>
          </w:p>
        </w:tc>
        <w:tc>
          <w:tcPr>
            <w:tcW w:w="2349" w:type="dxa"/>
            <w:gridSpan w:val="2"/>
            <w:vAlign w:val="center"/>
          </w:tcPr>
          <w:p>
            <w:pPr>
              <w:spacing w:line="360" w:lineRule="auto"/>
              <w:jc w:val="center"/>
              <w:rPr>
                <w:b/>
                <w:color w:val="000000" w:themeColor="text1"/>
                <w:sz w:val="21"/>
                <w:szCs w:val="21"/>
              </w:rPr>
            </w:pPr>
            <w:r>
              <w:rPr>
                <w:b/>
                <w:color w:val="000000" w:themeColor="text1"/>
                <w:sz w:val="21"/>
                <w:szCs w:val="21"/>
              </w:rPr>
              <w:t>13.02.00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1"/>
                <w:szCs w:val="21"/>
              </w:rPr>
            </w:pPr>
          </w:p>
        </w:tc>
        <w:tc>
          <w:tcPr>
            <w:tcW w:w="1218" w:type="dxa"/>
            <w:vAlign w:val="center"/>
          </w:tcPr>
          <w:p>
            <w:pPr>
              <w:rPr>
                <w:b/>
                <w:color w:val="000000" w:themeColor="text1"/>
                <w:sz w:val="21"/>
                <w:szCs w:val="21"/>
              </w:rPr>
            </w:pPr>
          </w:p>
        </w:tc>
        <w:tc>
          <w:tcPr>
            <w:tcW w:w="990" w:type="dxa"/>
            <w:vAlign w:val="center"/>
          </w:tcPr>
          <w:p>
            <w:pPr>
              <w:rPr>
                <w:b/>
                <w:color w:val="000000" w:themeColor="text1"/>
                <w:sz w:val="21"/>
                <w:szCs w:val="21"/>
              </w:rPr>
            </w:pPr>
          </w:p>
        </w:tc>
        <w:tc>
          <w:tcPr>
            <w:tcW w:w="3462" w:type="dxa"/>
            <w:gridSpan w:val="2"/>
            <w:vAlign w:val="center"/>
          </w:tcPr>
          <w:p>
            <w:pPr>
              <w:rPr>
                <w:b/>
                <w:color w:val="000000" w:themeColor="text1"/>
                <w:sz w:val="21"/>
                <w:szCs w:val="21"/>
              </w:rPr>
            </w:pPr>
          </w:p>
        </w:tc>
        <w:tc>
          <w:tcPr>
            <w:tcW w:w="2349" w:type="dxa"/>
            <w:gridSpan w:val="2"/>
            <w:vAlign w:val="center"/>
          </w:tcPr>
          <w:p>
            <w:pPr>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8"/>
            <w:vAlign w:val="center"/>
          </w:tcPr>
          <w:p>
            <w:pPr>
              <w:rPr>
                <w:b/>
                <w:color w:val="000000" w:themeColor="text1"/>
                <w:sz w:val="21"/>
                <w:szCs w:val="21"/>
              </w:rPr>
            </w:pPr>
            <w:r>
              <w:rPr>
                <w:rFonts w:hint="eastAsia"/>
                <w:b/>
                <w:color w:val="000000" w:themeColor="text1"/>
                <w:sz w:val="21"/>
                <w:szCs w:val="21"/>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1"/>
                <w:szCs w:val="21"/>
              </w:rPr>
            </w:pPr>
            <w:r>
              <w:rPr>
                <w:rFonts w:hint="eastAsia"/>
                <w:b/>
                <w:color w:val="000000" w:themeColor="text1"/>
                <w:sz w:val="21"/>
                <w:szCs w:val="21"/>
              </w:rPr>
              <w:t>姓名</w:t>
            </w:r>
          </w:p>
        </w:tc>
        <w:tc>
          <w:tcPr>
            <w:tcW w:w="1218" w:type="dxa"/>
            <w:vAlign w:val="center"/>
          </w:tcPr>
          <w:p>
            <w:pPr>
              <w:rPr>
                <w:b/>
                <w:color w:val="000000" w:themeColor="text1"/>
                <w:sz w:val="21"/>
                <w:szCs w:val="21"/>
              </w:rPr>
            </w:pPr>
            <w:r>
              <w:rPr>
                <w:rFonts w:hint="eastAsia"/>
                <w:b/>
                <w:color w:val="000000" w:themeColor="text1"/>
                <w:sz w:val="21"/>
                <w:szCs w:val="21"/>
              </w:rPr>
              <w:t>性别</w:t>
            </w:r>
          </w:p>
        </w:tc>
        <w:tc>
          <w:tcPr>
            <w:tcW w:w="990" w:type="dxa"/>
            <w:vAlign w:val="center"/>
          </w:tcPr>
          <w:p>
            <w:pPr>
              <w:rPr>
                <w:b/>
                <w:color w:val="000000" w:themeColor="text1"/>
                <w:sz w:val="21"/>
                <w:szCs w:val="21"/>
              </w:rPr>
            </w:pPr>
            <w:r>
              <w:rPr>
                <w:rFonts w:hint="eastAsia"/>
                <w:b/>
                <w:color w:val="000000" w:themeColor="text1"/>
                <w:sz w:val="21"/>
                <w:szCs w:val="21"/>
              </w:rPr>
              <w:t>角色</w:t>
            </w:r>
          </w:p>
        </w:tc>
        <w:tc>
          <w:tcPr>
            <w:tcW w:w="3462" w:type="dxa"/>
            <w:gridSpan w:val="2"/>
            <w:vAlign w:val="center"/>
          </w:tcPr>
          <w:p>
            <w:pPr>
              <w:rPr>
                <w:b/>
                <w:color w:val="000000" w:themeColor="text1"/>
                <w:sz w:val="21"/>
                <w:szCs w:val="21"/>
              </w:rPr>
            </w:pPr>
            <w:r>
              <w:rPr>
                <w:rFonts w:hint="eastAsia"/>
                <w:b/>
                <w:color w:val="000000" w:themeColor="text1"/>
                <w:sz w:val="21"/>
                <w:szCs w:val="21"/>
              </w:rPr>
              <w:t>工作单位</w:t>
            </w:r>
          </w:p>
        </w:tc>
        <w:tc>
          <w:tcPr>
            <w:tcW w:w="2349" w:type="dxa"/>
            <w:gridSpan w:val="2"/>
            <w:vAlign w:val="center"/>
          </w:tcPr>
          <w:p>
            <w:pPr>
              <w:rPr>
                <w:b/>
                <w:color w:val="000000" w:themeColor="text1"/>
                <w:sz w:val="21"/>
                <w:szCs w:val="21"/>
              </w:rPr>
            </w:pPr>
            <w:r>
              <w:rPr>
                <w:rFonts w:hint="eastAsia"/>
                <w:b/>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1"/>
                <w:szCs w:val="21"/>
              </w:rPr>
            </w:pPr>
          </w:p>
        </w:tc>
        <w:tc>
          <w:tcPr>
            <w:tcW w:w="1218" w:type="dxa"/>
            <w:vAlign w:val="center"/>
          </w:tcPr>
          <w:p>
            <w:pPr>
              <w:rPr>
                <w:b/>
                <w:color w:val="000000" w:themeColor="text1"/>
                <w:sz w:val="21"/>
                <w:szCs w:val="21"/>
              </w:rPr>
            </w:pPr>
          </w:p>
        </w:tc>
        <w:tc>
          <w:tcPr>
            <w:tcW w:w="990" w:type="dxa"/>
            <w:vAlign w:val="center"/>
          </w:tcPr>
          <w:p>
            <w:pPr>
              <w:rPr>
                <w:b/>
                <w:color w:val="000000" w:themeColor="text1"/>
                <w:sz w:val="21"/>
                <w:szCs w:val="21"/>
              </w:rPr>
            </w:pPr>
          </w:p>
        </w:tc>
        <w:tc>
          <w:tcPr>
            <w:tcW w:w="3462" w:type="dxa"/>
            <w:gridSpan w:val="2"/>
            <w:vAlign w:val="center"/>
          </w:tcPr>
          <w:p>
            <w:pPr>
              <w:rPr>
                <w:b/>
                <w:color w:val="000000" w:themeColor="text1"/>
                <w:sz w:val="21"/>
                <w:szCs w:val="21"/>
              </w:rPr>
            </w:pPr>
          </w:p>
        </w:tc>
        <w:tc>
          <w:tcPr>
            <w:tcW w:w="2349" w:type="dxa"/>
            <w:gridSpan w:val="2"/>
            <w:vAlign w:val="center"/>
          </w:tcPr>
          <w:p>
            <w:pPr>
              <w:rPr>
                <w:b/>
                <w:color w:val="000000" w:themeColor="text1"/>
                <w:sz w:val="21"/>
                <w:szCs w:val="2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p>
    <w:p>
      <w:pPr>
        <w:pStyle w:val="12"/>
        <w:numPr>
          <w:ilvl w:val="0"/>
          <w:numId w:val="1"/>
        </w:numPr>
        <w:ind w:left="-142" w:hanging="709" w:firstLineChars="0"/>
        <w:rPr>
          <w:rFonts w:hint="eastAsia" w:ascii="宋体" w:hAnsi="宋体" w:cs="Times New Roman"/>
          <w:b/>
          <w:color w:val="000000" w:themeColor="text1"/>
          <w:sz w:val="26"/>
          <w:szCs w:val="26"/>
        </w:rPr>
      </w:pPr>
      <w:r>
        <w:rPr>
          <w:rFonts w:hint="eastAsia" w:ascii="宋体" w:hAnsi="宋体" w:cs="Times New Roman"/>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524"/>
        <w:gridCol w:w="1017"/>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江西博莱大药厂有限公司</w:t>
            </w:r>
            <w:bookmarkEnd w:id="5"/>
          </w:p>
        </w:tc>
        <w:tc>
          <w:tcPr>
            <w:tcW w:w="1541" w:type="dxa"/>
            <w:gridSpan w:val="2"/>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1837" w:type="dxa"/>
            <w:gridSpan w:val="2"/>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120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8"/>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江西省九江市柴桑区庐山东路12号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332001</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8"/>
          </w:tcPr>
          <w:p>
            <w:pPr>
              <w:spacing w:line="320" w:lineRule="exact"/>
              <w:jc w:val="center"/>
              <w:rPr>
                <w:rFonts w:ascii="宋体" w:hAnsi="宋体"/>
                <w:b/>
                <w:color w:val="000000" w:themeColor="text1"/>
                <w:sz w:val="20"/>
                <w:szCs w:val="20"/>
              </w:rPr>
            </w:pPr>
            <w:bookmarkStart w:id="9" w:name="办公地址"/>
            <w:r>
              <w:rPr>
                <w:rFonts w:ascii="宋体" w:hAnsi="宋体"/>
                <w:b/>
                <w:color w:val="000000" w:themeColor="text1"/>
                <w:sz w:val="20"/>
                <w:szCs w:val="20"/>
              </w:rPr>
              <w:t>江西省九江市柴桑区庐山东路12号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332001</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8"/>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8"/>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何小丽</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518" w:type="dxa"/>
            <w:gridSpan w:val="2"/>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15879218051</w:t>
            </w:r>
            <w:bookmarkEnd w:id="12"/>
          </w:p>
        </w:tc>
        <w:tc>
          <w:tcPr>
            <w:tcW w:w="1620"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1837" w:type="dxa"/>
            <w:gridSpan w:val="2"/>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唐进波</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620"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1837" w:type="dxa"/>
            <w:gridSpan w:val="2"/>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肖欣戈</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0"/>
            <w:vAlign w:val="center"/>
          </w:tcPr>
          <w:p>
            <w:pPr>
              <w:spacing w:line="320" w:lineRule="exact"/>
              <w:jc w:val="both"/>
              <w:rPr>
                <w:rFonts w:ascii="宋体" w:hAnsi="宋体"/>
                <w:b/>
                <w:color w:val="000000" w:themeColor="text1"/>
                <w:sz w:val="20"/>
                <w:szCs w:val="20"/>
                <w:u w:val="single"/>
              </w:rPr>
            </w:pPr>
            <w:bookmarkStart w:id="17" w:name="审核范围"/>
            <w:r>
              <w:rPr>
                <w:rFonts w:ascii="宋体" w:hAnsi="宋体"/>
                <w:b/>
                <w:color w:val="000000" w:themeColor="text1"/>
                <w:sz w:val="20"/>
                <w:szCs w:val="20"/>
              </w:rPr>
              <w:t>资质范围内的兽药生产</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center"/>
          </w:tcPr>
          <w:p>
            <w:pPr>
              <w:spacing w:line="320" w:lineRule="exact"/>
              <w:jc w:val="both"/>
              <w:rPr>
                <w:rFonts w:ascii="宋体" w:hAnsi="宋体"/>
                <w:b/>
                <w:color w:val="000000" w:themeColor="text1"/>
                <w:sz w:val="20"/>
                <w:szCs w:val="20"/>
              </w:rPr>
            </w:pPr>
            <w:bookmarkStart w:id="18" w:name="专业代码"/>
            <w:r>
              <w:rPr>
                <w:rFonts w:ascii="宋体" w:hAnsi="宋体"/>
                <w:b/>
                <w:color w:val="000000" w:themeColor="text1"/>
                <w:sz w:val="20"/>
                <w:szCs w:val="20"/>
              </w:rPr>
              <w:t>13.02.00</w:t>
            </w:r>
            <w:bookmarkEnd w:id="18"/>
          </w:p>
        </w:tc>
        <w:tc>
          <w:tcPr>
            <w:tcW w:w="2151" w:type="dxa"/>
            <w:gridSpan w:val="4"/>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37" w:type="dxa"/>
            <w:gridSpan w:val="2"/>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2021-01-05 0:00:00</w:t>
            </w:r>
            <w:bookmarkEnd w:id="19"/>
          </w:p>
        </w:tc>
        <w:tc>
          <w:tcPr>
            <w:tcW w:w="2403" w:type="dxa"/>
            <w:gridSpan w:val="5"/>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3"/>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0"/>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0"/>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tcPr>
          <w:p>
            <w:pPr>
              <w:spacing w:line="360" w:lineRule="auto"/>
              <w:jc w:val="center"/>
              <w:rPr>
                <w:rFonts w:hint="eastAsia" w:ascii="宋体" w:hAnsi="宋体" w:eastAsia="宋体"/>
                <w:b/>
                <w:color w:val="000000" w:themeColor="text1"/>
                <w:sz w:val="21"/>
                <w:szCs w:val="21"/>
                <w:lang w:val="en-US" w:eastAsia="zh-CN"/>
              </w:rPr>
            </w:pPr>
            <w:r>
              <w:rPr>
                <w:rFonts w:hint="eastAsia" w:ascii="宋体" w:hAnsi="宋体"/>
                <w:b/>
                <w:color w:val="000000" w:themeColor="text1"/>
                <w:sz w:val="21"/>
                <w:szCs w:val="21"/>
                <w:lang w:val="en-US" w:eastAsia="zh-CN"/>
              </w:rPr>
              <w:t>行政部</w:t>
            </w:r>
          </w:p>
        </w:tc>
        <w:tc>
          <w:tcPr>
            <w:tcW w:w="6804" w:type="dxa"/>
          </w:tcPr>
          <w:p>
            <w:pPr>
              <w:spacing w:line="360" w:lineRule="auto"/>
              <w:jc w:val="center"/>
              <w:rPr>
                <w:rFonts w:ascii="宋体" w:hAnsi="宋体"/>
                <w:b w:val="0"/>
                <w:bCs/>
                <w:color w:val="000000" w:themeColor="text1"/>
                <w:spacing w:val="-20"/>
                <w:sz w:val="21"/>
                <w:szCs w:val="21"/>
                <w:u w:val="single"/>
              </w:rPr>
            </w:pPr>
            <w:r>
              <w:rPr>
                <w:rFonts w:hint="eastAsia" w:ascii="宋体" w:hAnsi="宋体" w:eastAsia="宋体" w:cs="Times New Roman"/>
                <w:b w:val="0"/>
                <w:bCs/>
                <w:color w:val="000000" w:themeColor="text1"/>
                <w:sz w:val="21"/>
                <w:szCs w:val="21"/>
                <w:lang w:val="en-US" w:eastAsia="zh-CN"/>
              </w:rPr>
              <w:t>目标管理、资源（人员能力）管理、文件管理、内审、监测分析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tcPr>
          <w:p>
            <w:pPr>
              <w:spacing w:line="360" w:lineRule="auto"/>
              <w:jc w:val="center"/>
              <w:rPr>
                <w:rFonts w:ascii="宋体" w:hAnsi="宋体"/>
                <w:b/>
                <w:color w:val="000000" w:themeColor="text1"/>
                <w:sz w:val="21"/>
                <w:szCs w:val="21"/>
              </w:rPr>
            </w:pPr>
            <w:r>
              <w:rPr>
                <w:rFonts w:hint="eastAsia" w:ascii="宋体" w:hAnsi="宋体"/>
                <w:b/>
                <w:color w:val="000000" w:themeColor="text1"/>
                <w:sz w:val="21"/>
                <w:szCs w:val="21"/>
              </w:rPr>
              <w:t>供应仓储部</w:t>
            </w:r>
          </w:p>
        </w:tc>
        <w:tc>
          <w:tcPr>
            <w:tcW w:w="6804" w:type="dxa"/>
          </w:tcPr>
          <w:p>
            <w:pPr>
              <w:spacing w:line="360" w:lineRule="auto"/>
              <w:jc w:val="center"/>
              <w:rPr>
                <w:rFonts w:ascii="宋体" w:hAnsi="宋体"/>
                <w:b w:val="0"/>
                <w:bCs/>
                <w:color w:val="000000" w:themeColor="text1"/>
                <w:spacing w:val="-20"/>
                <w:sz w:val="21"/>
                <w:szCs w:val="21"/>
                <w:u w:val="none"/>
              </w:rPr>
            </w:pPr>
            <w:r>
              <w:rPr>
                <w:rFonts w:hint="eastAsia" w:ascii="宋体" w:hAnsi="宋体"/>
                <w:b w:val="0"/>
                <w:bCs/>
                <w:color w:val="000000" w:themeColor="text1"/>
                <w:spacing w:val="-20"/>
                <w:sz w:val="21"/>
                <w:szCs w:val="21"/>
                <w:u w:val="none"/>
              </w:rPr>
              <w:t>外部提供过程、产品和服务的控制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tcPr>
          <w:p>
            <w:pPr>
              <w:spacing w:line="360" w:lineRule="auto"/>
              <w:jc w:val="center"/>
              <w:rPr>
                <w:rFonts w:ascii="宋体" w:hAnsi="宋体"/>
                <w:b/>
                <w:color w:val="000000" w:themeColor="text1"/>
                <w:sz w:val="21"/>
                <w:szCs w:val="21"/>
              </w:rPr>
            </w:pPr>
            <w:r>
              <w:rPr>
                <w:rFonts w:hint="eastAsia" w:ascii="宋体" w:hAnsi="宋体"/>
                <w:b/>
                <w:color w:val="000000" w:themeColor="text1"/>
                <w:sz w:val="21"/>
                <w:szCs w:val="21"/>
              </w:rPr>
              <w:t>销售部</w:t>
            </w:r>
          </w:p>
        </w:tc>
        <w:tc>
          <w:tcPr>
            <w:tcW w:w="6804" w:type="dxa"/>
          </w:tcPr>
          <w:p>
            <w:pPr>
              <w:spacing w:line="360" w:lineRule="auto"/>
              <w:jc w:val="center"/>
              <w:rPr>
                <w:rFonts w:hint="eastAsia" w:ascii="宋体" w:hAnsi="宋体" w:eastAsia="宋体"/>
                <w:b w:val="0"/>
                <w:bCs/>
                <w:color w:val="000000" w:themeColor="text1"/>
                <w:spacing w:val="-20"/>
                <w:sz w:val="21"/>
                <w:szCs w:val="21"/>
                <w:u w:val="none"/>
                <w:lang w:val="en-US" w:eastAsia="zh-CN"/>
              </w:rPr>
            </w:pPr>
            <w:r>
              <w:rPr>
                <w:rFonts w:hint="eastAsia" w:ascii="宋体" w:hAnsi="宋体"/>
                <w:b w:val="0"/>
                <w:bCs/>
                <w:color w:val="000000" w:themeColor="text1"/>
                <w:spacing w:val="-20"/>
                <w:sz w:val="21"/>
                <w:szCs w:val="21"/>
                <w:u w:val="none"/>
                <w:lang w:val="en-US" w:eastAsia="zh-CN"/>
              </w:rPr>
              <w:t>顾客要求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tcPr>
          <w:p>
            <w:pPr>
              <w:spacing w:line="360" w:lineRule="auto"/>
              <w:jc w:val="center"/>
              <w:rPr>
                <w:rFonts w:ascii="宋体" w:hAnsi="宋体"/>
                <w:b/>
                <w:color w:val="000000" w:themeColor="text1"/>
                <w:sz w:val="21"/>
                <w:szCs w:val="21"/>
              </w:rPr>
            </w:pPr>
            <w:r>
              <w:rPr>
                <w:rFonts w:hint="eastAsia" w:ascii="宋体" w:hAnsi="宋体"/>
                <w:b/>
                <w:color w:val="000000" w:themeColor="text1"/>
                <w:sz w:val="21"/>
                <w:szCs w:val="21"/>
              </w:rPr>
              <w:t>质量控制部</w:t>
            </w:r>
          </w:p>
        </w:tc>
        <w:tc>
          <w:tcPr>
            <w:tcW w:w="6804" w:type="dxa"/>
          </w:tcPr>
          <w:p>
            <w:pPr>
              <w:spacing w:line="360" w:lineRule="auto"/>
              <w:jc w:val="center"/>
              <w:rPr>
                <w:rFonts w:ascii="宋体" w:hAnsi="宋体"/>
                <w:b w:val="0"/>
                <w:bCs/>
                <w:color w:val="000000" w:themeColor="text1"/>
                <w:spacing w:val="-20"/>
                <w:sz w:val="21"/>
                <w:szCs w:val="21"/>
                <w:u w:val="none"/>
              </w:rPr>
            </w:pPr>
            <w:r>
              <w:rPr>
                <w:rFonts w:hint="eastAsia" w:ascii="宋体" w:hAnsi="宋体"/>
                <w:b w:val="0"/>
                <w:bCs/>
                <w:color w:val="000000" w:themeColor="text1"/>
                <w:spacing w:val="-20"/>
                <w:sz w:val="21"/>
                <w:szCs w:val="21"/>
                <w:u w:val="none"/>
              </w:rPr>
              <w:t>产品和服务的放行、不合格输出的控制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tcPr>
          <w:p>
            <w:pPr>
              <w:spacing w:line="360" w:lineRule="auto"/>
              <w:jc w:val="center"/>
              <w:rPr>
                <w:rFonts w:ascii="宋体" w:hAnsi="宋体"/>
                <w:b/>
                <w:color w:val="000000" w:themeColor="text1"/>
                <w:sz w:val="21"/>
                <w:szCs w:val="21"/>
              </w:rPr>
            </w:pPr>
            <w:r>
              <w:rPr>
                <w:rFonts w:hint="eastAsia" w:ascii="宋体" w:hAnsi="宋体"/>
                <w:b/>
                <w:color w:val="000000" w:themeColor="text1"/>
                <w:sz w:val="21"/>
                <w:szCs w:val="21"/>
              </w:rPr>
              <w:t>生产技术部含现场</w:t>
            </w:r>
          </w:p>
        </w:tc>
        <w:tc>
          <w:tcPr>
            <w:tcW w:w="6804" w:type="dxa"/>
          </w:tcPr>
          <w:p>
            <w:pPr>
              <w:spacing w:line="360" w:lineRule="auto"/>
              <w:jc w:val="center"/>
              <w:rPr>
                <w:rFonts w:ascii="宋体" w:hAnsi="宋体"/>
                <w:b w:val="0"/>
                <w:bCs/>
                <w:color w:val="000000" w:themeColor="text1"/>
                <w:spacing w:val="-20"/>
                <w:sz w:val="21"/>
                <w:szCs w:val="21"/>
                <w:u w:val="none"/>
              </w:rPr>
            </w:pPr>
            <w:r>
              <w:rPr>
                <w:rFonts w:hint="eastAsia" w:ascii="宋体" w:hAnsi="宋体"/>
                <w:b w:val="0"/>
                <w:bCs/>
                <w:color w:val="000000" w:themeColor="text1"/>
                <w:spacing w:val="-20"/>
                <w:sz w:val="21"/>
                <w:szCs w:val="21"/>
                <w:u w:val="none"/>
              </w:rPr>
              <w:t>运行策划和控制、生产和服务提供的控制</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351"/>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351"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453"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tcPr>
          <w:p>
            <w:pPr>
              <w:jc w:val="center"/>
              <w:rPr>
                <w:rFonts w:ascii="宋体" w:hAnsi="宋体"/>
                <w:b/>
                <w:color w:val="000000" w:themeColor="text1"/>
                <w:sz w:val="20"/>
                <w:szCs w:val="20"/>
              </w:rPr>
            </w:pPr>
          </w:p>
        </w:tc>
        <w:tc>
          <w:tcPr>
            <w:tcW w:w="3351" w:type="dxa"/>
          </w:tcPr>
          <w:p>
            <w:pPr>
              <w:jc w:val="center"/>
              <w:rPr>
                <w:rFonts w:ascii="宋体" w:hAnsi="宋体"/>
                <w:b/>
                <w:color w:val="000000" w:themeColor="text1"/>
                <w:spacing w:val="-20"/>
                <w:sz w:val="20"/>
                <w:szCs w:val="20"/>
                <w:u w:val="single"/>
              </w:rPr>
            </w:pPr>
          </w:p>
        </w:tc>
        <w:tc>
          <w:tcPr>
            <w:tcW w:w="3453"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9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484"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兽药生产</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484" w:type="dxa"/>
          </w:tcPr>
          <w:p>
            <w:pPr>
              <w:rPr>
                <w:b/>
                <w:color w:val="000000" w:themeColor="text1"/>
                <w:sz w:val="20"/>
                <w:szCs w:val="20"/>
              </w:rPr>
            </w:pPr>
            <w:r>
              <w:rPr>
                <w:rFonts w:hint="eastAsia"/>
                <w:b/>
                <w:color w:val="000000" w:themeColor="text1"/>
                <w:sz w:val="20"/>
                <w:szCs w:val="20"/>
              </w:rPr>
              <w:t>中华人民共和国兽药典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484"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5</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6</w:t>
      </w:r>
      <w:r>
        <w:rPr>
          <w:rFonts w:hint="eastAsia"/>
          <w:b/>
          <w:color w:val="000000" w:themeColor="text1"/>
          <w:spacing w:val="-10"/>
          <w:szCs w:val="21"/>
        </w:rPr>
        <w:t>月</w:t>
      </w:r>
      <w:r>
        <w:rPr>
          <w:rFonts w:hint="eastAsia"/>
          <w:b/>
          <w:color w:val="000000" w:themeColor="text1"/>
          <w:spacing w:val="-10"/>
          <w:szCs w:val="21"/>
          <w:lang w:val="en-US" w:eastAsia="zh-CN"/>
        </w:rPr>
        <w:t>27</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ind w:left="-1" w:leftChars="-337" w:hanging="707" w:hangingChars="271"/>
        <w:rPr>
          <w:rFonts w:hint="eastAsia" w:ascii="宋体" w:hAnsi="宋体" w:cs="Times New Roman"/>
          <w:b/>
          <w:color w:val="000000" w:themeColor="text1"/>
          <w:sz w:val="26"/>
          <w:szCs w:val="26"/>
        </w:rPr>
      </w:pPr>
      <w:r>
        <w:rPr>
          <w:rFonts w:hint="eastAsia" w:ascii="宋体" w:hAnsi="宋体" w:cs="Times New Roman"/>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20" w:type="dxa"/>
            <w:vMerge w:val="restart"/>
            <w:textDirection w:val="tbRlV"/>
            <w:vAlign w:val="center"/>
          </w:tcPr>
          <w:p>
            <w:pPr>
              <w:spacing w:line="360" w:lineRule="auto"/>
              <w:ind w:left="201" w:right="113" w:hanging="211" w:hangingChars="100"/>
              <w:jc w:val="center"/>
              <w:rPr>
                <w:rFonts w:ascii="宋体" w:hAnsi="宋体"/>
                <w:b/>
                <w:color w:val="000000" w:themeColor="text1"/>
                <w:sz w:val="21"/>
                <w:szCs w:val="21"/>
              </w:rPr>
            </w:pPr>
            <w:r>
              <w:rPr>
                <w:rFonts w:hint="eastAsia" w:ascii="宋体" w:hAnsi="宋体"/>
                <w:b/>
                <w:color w:val="000000" w:themeColor="text1"/>
                <w:sz w:val="21"/>
                <w:szCs w:val="21"/>
              </w:rPr>
              <w:t>(一)策划的充分与合理性</w:t>
            </w:r>
          </w:p>
        </w:tc>
        <w:tc>
          <w:tcPr>
            <w:tcW w:w="9198" w:type="dxa"/>
          </w:tcPr>
          <w:p>
            <w:pPr>
              <w:spacing w:line="360" w:lineRule="auto"/>
              <w:rPr>
                <w:rFonts w:hint="eastAsia"/>
                <w:b/>
                <w:color w:val="000000" w:themeColor="text1"/>
                <w:sz w:val="21"/>
                <w:szCs w:val="21"/>
              </w:rPr>
            </w:pPr>
            <w:r>
              <w:rPr>
                <w:b/>
                <w:color w:val="000000" w:themeColor="text1"/>
                <w:sz w:val="21"/>
                <w:szCs w:val="21"/>
              </w:rPr>
              <w:t>1、</w:t>
            </w:r>
            <w:r>
              <w:rPr>
                <w:rFonts w:hint="eastAsia"/>
                <w:b/>
                <w:color w:val="000000" w:themeColor="text1"/>
                <w:sz w:val="21"/>
                <w:szCs w:val="21"/>
              </w:rPr>
              <w:t>组织及其环境的识别情况</w:t>
            </w:r>
          </w:p>
          <w:p>
            <w:pPr>
              <w:spacing w:line="360" w:lineRule="auto"/>
              <w:ind w:firstLine="420" w:firstLineChars="200"/>
              <w:rPr>
                <w:rFonts w:hint="eastAsia"/>
                <w:sz w:val="21"/>
                <w:szCs w:val="21"/>
                <w:highlight w:val="none"/>
                <w:lang w:val="zh-CN"/>
              </w:rPr>
            </w:pPr>
            <w:r>
              <w:rPr>
                <w:rFonts w:hint="eastAsia"/>
                <w:sz w:val="21"/>
                <w:szCs w:val="21"/>
                <w:highlight w:val="none"/>
                <w:lang w:val="zh-CN"/>
              </w:rPr>
              <w:t>江西博莱大药厂有限公司成立于1999年8月28日，隶属于九江博莱农业集团。公司注册资金</w:t>
            </w:r>
            <w:r>
              <w:rPr>
                <w:rFonts w:hint="eastAsia"/>
                <w:sz w:val="21"/>
                <w:szCs w:val="21"/>
                <w:highlight w:val="none"/>
                <w:lang w:val="en-US" w:eastAsia="zh-CN"/>
              </w:rPr>
              <w:t>伍仟</w:t>
            </w:r>
            <w:r>
              <w:rPr>
                <w:rFonts w:hint="eastAsia"/>
                <w:sz w:val="21"/>
                <w:szCs w:val="21"/>
                <w:highlight w:val="none"/>
                <w:lang w:val="zh-CN"/>
              </w:rPr>
              <w:t>万元；</w:t>
            </w:r>
          </w:p>
          <w:p>
            <w:pPr>
              <w:spacing w:line="360" w:lineRule="auto"/>
              <w:ind w:firstLine="420" w:firstLineChars="200"/>
              <w:rPr>
                <w:rFonts w:hint="eastAsia"/>
                <w:sz w:val="21"/>
                <w:szCs w:val="21"/>
                <w:highlight w:val="none"/>
                <w:lang w:val="zh-CN"/>
              </w:rPr>
            </w:pPr>
            <w:r>
              <w:rPr>
                <w:rFonts w:hint="eastAsia"/>
                <w:sz w:val="21"/>
                <w:szCs w:val="21"/>
                <w:highlight w:val="none"/>
                <w:lang w:val="en-US" w:eastAsia="zh-CN"/>
              </w:rPr>
              <w:t>注册</w:t>
            </w:r>
            <w:r>
              <w:rPr>
                <w:rFonts w:hint="eastAsia"/>
                <w:sz w:val="21"/>
                <w:szCs w:val="21"/>
                <w:highlight w:val="none"/>
                <w:lang w:val="zh-CN"/>
              </w:rPr>
              <w:t>地址位于：江西省九江市柴桑区庐山东路12号；</w:t>
            </w:r>
          </w:p>
          <w:p>
            <w:pPr>
              <w:spacing w:line="360" w:lineRule="auto"/>
              <w:ind w:firstLine="420" w:firstLineChars="200"/>
              <w:rPr>
                <w:rFonts w:hint="eastAsia"/>
                <w:color w:val="auto"/>
                <w:sz w:val="21"/>
                <w:szCs w:val="21"/>
                <w:highlight w:val="none"/>
                <w:lang w:val="zh-CN"/>
              </w:rPr>
            </w:pPr>
            <w:r>
              <w:rPr>
                <w:rFonts w:hint="eastAsia"/>
                <w:sz w:val="21"/>
                <w:szCs w:val="21"/>
                <w:highlight w:val="none"/>
                <w:lang w:val="zh-CN"/>
              </w:rPr>
              <w:t>生产地址：江西省九江市柴桑区庐山东路12号</w:t>
            </w:r>
            <w:r>
              <w:rPr>
                <w:rFonts w:hint="eastAsia"/>
                <w:color w:val="auto"/>
                <w:sz w:val="21"/>
                <w:szCs w:val="21"/>
                <w:highlight w:val="none"/>
                <w:lang w:val="zh-CN"/>
              </w:rPr>
              <w:t>；</w:t>
            </w:r>
          </w:p>
          <w:p>
            <w:pPr>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占地面积10万余平方米，拥有员工1百多名，大专以上学历达55%，技术团队达40人。</w:t>
            </w:r>
          </w:p>
          <w:p>
            <w:pPr>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拥有国内一流的生产和检验设备，目前拥有片剂（含中药提取）/颗粒剂（含中药提取）、粉剂/散剂/预混剂、消毒剂（固体）、非氯消毒剂（液体）/杀虫剂（液体）粉针剂/滴眼剂、最终灭菌小容量注射剂（含中药提取）/最终灭菌大容量非静脉注射剂（含中药提取）/口服溶液剂（含中药提取）/软膏剂/乳膏剂/滴耳剂等23条通过国家农业部GMP认证的自动化生产线。</w:t>
            </w:r>
          </w:p>
          <w:p>
            <w:pPr>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主要设备：二级反渗透机、多效蒸馏水机、注射用水贮水罐、纯化水贮水罐、淡水箱、锤片式粉碎机、传送带、无尘投料站、快速干混机、药物自动包装机、螺杆式空气压缩机、制氮机、振动筛、高速混合机、摇摆制粒机、高效沸腾干燥机、超声波洗瓶机、隧道式灭菌干燥机、拉丝灌封机、不锈钢贮液罐、均质机、安瓿灌封机、全自动轧盖机等；</w:t>
            </w:r>
          </w:p>
          <w:p>
            <w:pPr>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zh-CN" w:eastAsia="zh-CN"/>
              </w:rPr>
              <w:t>检测设备：</w:t>
            </w:r>
            <w:r>
              <w:rPr>
                <w:rFonts w:hint="eastAsia"/>
                <w:color w:val="auto"/>
                <w:sz w:val="21"/>
                <w:szCs w:val="21"/>
                <w:highlight w:val="none"/>
                <w:lang w:val="en-US" w:eastAsia="zh-CN"/>
              </w:rPr>
              <w:t>紫外可见分光光度计、玻璃温度计、液相色谱仪、电子天平（十万分之一）、酸度计、电导率仪、自动永停滴定仪、熔点测试仪、水分测定仪、气相色谱仪、激光尘埃粒子计数器、澄明度检测仪等；</w:t>
            </w:r>
          </w:p>
          <w:p>
            <w:pPr>
              <w:spacing w:line="360" w:lineRule="auto"/>
              <w:ind w:firstLine="420" w:firstLineChars="200"/>
              <w:rPr>
                <w:rFonts w:hint="default"/>
                <w:color w:val="auto"/>
                <w:sz w:val="21"/>
                <w:szCs w:val="21"/>
                <w:highlight w:val="none"/>
                <w:lang w:val="en-US" w:eastAsia="zh-CN"/>
              </w:rPr>
            </w:pPr>
            <w:r>
              <w:rPr>
                <w:rFonts w:hint="eastAsia"/>
                <w:color w:val="auto"/>
                <w:sz w:val="21"/>
                <w:szCs w:val="21"/>
                <w:highlight w:val="none"/>
                <w:lang w:val="en-US" w:eastAsia="zh-CN"/>
              </w:rPr>
              <w:t>特种设备：压力容器、叉车、燃气锅炉、电梯等。</w:t>
            </w:r>
          </w:p>
          <w:p>
            <w:pPr>
              <w:spacing w:line="360" w:lineRule="auto"/>
              <w:ind w:firstLine="420" w:firstLineChars="200"/>
              <w:rPr>
                <w:rFonts w:hint="default"/>
                <w:b w:val="0"/>
                <w:bCs w:val="0"/>
                <w:sz w:val="21"/>
                <w:szCs w:val="21"/>
                <w:lang w:val="en-US" w:eastAsia="zh-CN"/>
              </w:rPr>
            </w:pPr>
            <w:r>
              <w:rPr>
                <w:rFonts w:hint="eastAsia"/>
                <w:sz w:val="21"/>
                <w:szCs w:val="21"/>
                <w:highlight w:val="none"/>
                <w:lang w:val="zh-CN"/>
              </w:rPr>
              <w:t>主要</w:t>
            </w:r>
            <w:r>
              <w:rPr>
                <w:rFonts w:hint="eastAsia"/>
                <w:sz w:val="21"/>
                <w:szCs w:val="21"/>
                <w:highlight w:val="none"/>
                <w:lang w:val="en-US" w:eastAsia="zh-CN"/>
              </w:rPr>
              <w:t>经营兽药生产、兽药经营、饲料生产等</w:t>
            </w:r>
            <w:r>
              <w:rPr>
                <w:rFonts w:hint="eastAsia"/>
                <w:sz w:val="21"/>
                <w:szCs w:val="21"/>
                <w:highlight w:val="none"/>
                <w:lang w:val="zh-CN"/>
              </w:rPr>
              <w:t>；</w:t>
            </w:r>
            <w:r>
              <w:rPr>
                <w:rFonts w:hint="eastAsia"/>
                <w:sz w:val="21"/>
                <w:szCs w:val="21"/>
                <w:highlight w:val="none"/>
                <w:lang w:val="en-US" w:eastAsia="zh-CN"/>
              </w:rPr>
              <w:t>保持营业执照和兽药生产许可证，覆盖了认证范围：</w:t>
            </w:r>
            <w:r>
              <w:rPr>
                <w:rFonts w:hint="default"/>
                <w:b w:val="0"/>
                <w:bCs w:val="0"/>
                <w:sz w:val="21"/>
                <w:szCs w:val="21"/>
                <w:lang w:val="en-US" w:eastAsia="zh-CN"/>
              </w:rPr>
              <w:t>Q：资质范围内的兽药生产</w:t>
            </w:r>
          </w:p>
          <w:p>
            <w:pPr>
              <w:spacing w:line="360" w:lineRule="auto"/>
              <w:ind w:firstLine="420" w:firstLineChars="200"/>
              <w:rPr>
                <w:rFonts w:hint="eastAsia"/>
                <w:sz w:val="21"/>
                <w:szCs w:val="21"/>
                <w:highlight w:val="none"/>
              </w:rPr>
            </w:pPr>
            <w:r>
              <w:rPr>
                <w:rFonts w:hint="eastAsia"/>
                <w:sz w:val="21"/>
                <w:szCs w:val="21"/>
                <w:highlight w:val="none"/>
              </w:rPr>
              <w:t>公司设置有销售部、行政部、供应仓储部、质量控制部、生产技术部。</w:t>
            </w:r>
          </w:p>
          <w:p>
            <w:pPr>
              <w:spacing w:line="360" w:lineRule="auto"/>
              <w:ind w:firstLine="420" w:firstLineChars="200"/>
              <w:rPr>
                <w:rFonts w:hint="eastAsia"/>
                <w:sz w:val="21"/>
                <w:szCs w:val="21"/>
                <w:highlight w:val="none"/>
              </w:rPr>
            </w:pPr>
            <w:r>
              <w:rPr>
                <w:rFonts w:hint="eastAsia"/>
                <w:sz w:val="21"/>
                <w:szCs w:val="21"/>
                <w:highlight w:val="none"/>
              </w:rPr>
              <w:t>公司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如：</w:t>
            </w:r>
          </w:p>
          <w:p>
            <w:pPr>
              <w:spacing w:line="360" w:lineRule="auto"/>
              <w:ind w:firstLine="420" w:firstLineChars="200"/>
              <w:rPr>
                <w:rFonts w:hint="eastAsia"/>
                <w:sz w:val="21"/>
                <w:szCs w:val="21"/>
                <w:highlight w:val="none"/>
              </w:rPr>
            </w:pPr>
            <w:r>
              <w:rPr>
                <w:rFonts w:hint="eastAsia"/>
                <w:sz w:val="21"/>
                <w:szCs w:val="21"/>
                <w:highlight w:val="none"/>
              </w:rPr>
              <w:t>外部因素—国际经济政治形势、</w:t>
            </w:r>
            <w:r>
              <w:rPr>
                <w:rFonts w:hint="eastAsia"/>
                <w:sz w:val="21"/>
                <w:szCs w:val="21"/>
                <w:highlight w:val="none"/>
                <w:lang w:val="en-US" w:eastAsia="zh-CN"/>
              </w:rPr>
              <w:t>国家政策</w:t>
            </w:r>
            <w:r>
              <w:rPr>
                <w:rFonts w:hint="eastAsia"/>
                <w:sz w:val="21"/>
                <w:szCs w:val="21"/>
                <w:highlight w:val="none"/>
              </w:rPr>
              <w:t>变动、竞争对手、客户需求的变化、新技术的采用等；</w:t>
            </w:r>
          </w:p>
          <w:p>
            <w:pPr>
              <w:spacing w:line="360" w:lineRule="auto"/>
              <w:ind w:firstLine="420" w:firstLineChars="200"/>
              <w:rPr>
                <w:rFonts w:hint="eastAsia"/>
                <w:sz w:val="21"/>
                <w:szCs w:val="21"/>
                <w:highlight w:val="none"/>
              </w:rPr>
            </w:pPr>
            <w:r>
              <w:rPr>
                <w:rFonts w:hint="eastAsia"/>
                <w:sz w:val="21"/>
                <w:szCs w:val="21"/>
                <w:highlight w:val="none"/>
              </w:rPr>
              <w:t>内部因素</w:t>
            </w:r>
            <w:r>
              <w:rPr>
                <w:rFonts w:hint="eastAsia"/>
                <w:sz w:val="21"/>
                <w:szCs w:val="21"/>
                <w:highlight w:val="none"/>
                <w:lang w:eastAsia="zh-CN"/>
              </w:rPr>
              <w:t>—</w:t>
            </w:r>
            <w:r>
              <w:rPr>
                <w:rFonts w:hint="eastAsia"/>
                <w:sz w:val="21"/>
                <w:szCs w:val="21"/>
                <w:highlight w:val="none"/>
              </w:rPr>
              <w:t>公司文化、内部管理机制的建立、人员稳定性、员工年龄、经验等；</w:t>
            </w:r>
          </w:p>
          <w:p>
            <w:pPr>
              <w:spacing w:line="360" w:lineRule="auto"/>
              <w:ind w:firstLine="420" w:firstLineChars="200"/>
              <w:rPr>
                <w:rFonts w:hint="eastAsia"/>
                <w:sz w:val="21"/>
                <w:szCs w:val="21"/>
                <w:highlight w:val="none"/>
              </w:rPr>
            </w:pPr>
            <w:r>
              <w:rPr>
                <w:rFonts w:hint="eastAsia"/>
                <w:sz w:val="21"/>
                <w:szCs w:val="21"/>
                <w:highlight w:val="none"/>
              </w:rPr>
              <w:t>这些因素包括了需要考虑的正面和负面因素或条件。</w:t>
            </w:r>
          </w:p>
          <w:p>
            <w:pPr>
              <w:spacing w:line="360" w:lineRule="auto"/>
              <w:rPr>
                <w:b/>
                <w:color w:val="000000" w:themeColor="text1"/>
                <w:sz w:val="21"/>
                <w:szCs w:val="21"/>
              </w:rPr>
            </w:pPr>
            <w:r>
              <w:rPr>
                <w:rFonts w:hint="eastAsia"/>
                <w:sz w:val="21"/>
                <w:szCs w:val="21"/>
                <w:highlight w:val="none"/>
              </w:rPr>
              <w:t>公司每年根据公司销售人员从市场、客户、网络等搜集到的信息并结合公司自身业务运作情况进行分析，通过分析对这些内部和外部因素的相关信息进行监视和评审以确保其充分和适宜。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20" w:type="dxa"/>
            <w:vMerge w:val="continue"/>
            <w:textDirection w:val="tbRlV"/>
            <w:vAlign w:val="center"/>
          </w:tcPr>
          <w:p>
            <w:pPr>
              <w:spacing w:line="360" w:lineRule="auto"/>
              <w:ind w:left="201" w:right="113" w:hanging="211" w:hangingChars="100"/>
              <w:jc w:val="center"/>
              <w:rPr>
                <w:rFonts w:ascii="宋体" w:hAnsi="宋体"/>
                <w:b/>
                <w:color w:val="000000" w:themeColor="text1"/>
                <w:sz w:val="21"/>
                <w:szCs w:val="21"/>
              </w:rPr>
            </w:pPr>
          </w:p>
        </w:tc>
        <w:tc>
          <w:tcPr>
            <w:tcW w:w="9198" w:type="dxa"/>
          </w:tcPr>
          <w:p>
            <w:pPr>
              <w:spacing w:line="360" w:lineRule="auto"/>
              <w:rPr>
                <w:rFonts w:hint="eastAsia"/>
                <w:b/>
                <w:color w:val="000000" w:themeColor="text1"/>
                <w:sz w:val="21"/>
                <w:szCs w:val="21"/>
              </w:rPr>
            </w:pPr>
            <w:r>
              <w:rPr>
                <w:b/>
                <w:color w:val="000000" w:themeColor="text1"/>
                <w:sz w:val="21"/>
                <w:szCs w:val="21"/>
              </w:rPr>
              <w:t>2、</w:t>
            </w:r>
            <w:r>
              <w:rPr>
                <w:rFonts w:hint="eastAsia"/>
                <w:b/>
                <w:color w:val="000000" w:themeColor="text1"/>
                <w:sz w:val="21"/>
                <w:szCs w:val="21"/>
              </w:rPr>
              <w:t>相关方需求和期望识别情况</w:t>
            </w:r>
          </w:p>
          <w:p>
            <w:pPr>
              <w:spacing w:line="360" w:lineRule="auto"/>
              <w:ind w:firstLine="420" w:firstLineChars="200"/>
              <w:rPr>
                <w:rFonts w:hint="eastAsia"/>
                <w:sz w:val="21"/>
                <w:szCs w:val="21"/>
                <w:highlight w:val="none"/>
                <w:lang w:val="en-US" w:eastAsia="zh-CN"/>
              </w:rPr>
            </w:pPr>
            <w:r>
              <w:rPr>
                <w:rFonts w:hint="eastAsia"/>
                <w:sz w:val="21"/>
                <w:szCs w:val="21"/>
                <w:highlight w:val="none"/>
                <w:lang w:val="en-US" w:eastAsia="zh-CN"/>
              </w:rPr>
              <w:t>组织相关方主要包括顾客/最终消费者、员工、政府、外部供方、竞争对手、社会相邻单位等；</w:t>
            </w:r>
          </w:p>
          <w:p>
            <w:pPr>
              <w:spacing w:line="360" w:lineRule="auto"/>
              <w:ind w:firstLine="420" w:firstLineChars="200"/>
              <w:rPr>
                <w:rFonts w:hint="eastAsia"/>
                <w:sz w:val="21"/>
                <w:szCs w:val="21"/>
                <w:highlight w:val="none"/>
                <w:lang w:val="en-US" w:eastAsia="zh-CN"/>
              </w:rPr>
            </w:pPr>
            <w:r>
              <w:rPr>
                <w:rFonts w:hint="eastAsia"/>
                <w:sz w:val="21"/>
                <w:szCs w:val="21"/>
                <w:highlight w:val="none"/>
                <w:lang w:val="en-US" w:eastAsia="zh-CN"/>
              </w:rPr>
              <w:t>公司明确了相关方要求与期望、监测指标或项目、监测频率、监测部门等。</w:t>
            </w:r>
          </w:p>
          <w:p>
            <w:pPr>
              <w:spacing w:line="360" w:lineRule="auto"/>
              <w:rPr>
                <w:b/>
                <w:color w:val="000000" w:themeColor="text1"/>
                <w:sz w:val="21"/>
                <w:szCs w:val="21"/>
              </w:rPr>
            </w:pPr>
            <w:r>
              <w:rPr>
                <w:rFonts w:hint="eastAsia"/>
                <w:sz w:val="21"/>
                <w:szCs w:val="21"/>
                <w:highlight w:val="none"/>
                <w:lang w:val="en-US" w:eastAsia="zh-CN"/>
              </w:rPr>
              <w:t>保留“相关方期望或要求识别表”，相关方主要期望：价格、待遇、公平性、安全性、合同协议、行业规范标准等。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jc w:val="center"/>
        </w:trPr>
        <w:tc>
          <w:tcPr>
            <w:tcW w:w="720" w:type="dxa"/>
            <w:vMerge w:val="continue"/>
            <w:textDirection w:val="tbRlV"/>
            <w:vAlign w:val="center"/>
          </w:tcPr>
          <w:p>
            <w:pPr>
              <w:spacing w:line="360" w:lineRule="auto"/>
              <w:ind w:left="201" w:right="113" w:hanging="211" w:hangingChars="100"/>
              <w:jc w:val="center"/>
              <w:rPr>
                <w:rFonts w:ascii="宋体" w:hAnsi="宋体"/>
                <w:b/>
                <w:color w:val="000000" w:themeColor="text1"/>
                <w:sz w:val="21"/>
                <w:szCs w:val="21"/>
              </w:rPr>
            </w:pPr>
          </w:p>
        </w:tc>
        <w:tc>
          <w:tcPr>
            <w:tcW w:w="9198" w:type="dxa"/>
          </w:tcPr>
          <w:p>
            <w:pPr>
              <w:spacing w:line="360" w:lineRule="auto"/>
              <w:rPr>
                <w:rFonts w:ascii="宋体" w:hAnsi="宋体"/>
                <w:b/>
                <w:color w:val="000000" w:themeColor="text1"/>
                <w:sz w:val="21"/>
                <w:szCs w:val="21"/>
              </w:rPr>
            </w:pPr>
            <w:r>
              <w:rPr>
                <w:b/>
                <w:color w:val="000000" w:themeColor="text1"/>
                <w:sz w:val="21"/>
                <w:szCs w:val="21"/>
              </w:rPr>
              <w:t>3.</w:t>
            </w:r>
            <w:r>
              <w:rPr>
                <w:rFonts w:hint="eastAsia"/>
                <w:b/>
                <w:color w:val="000000" w:themeColor="text1"/>
                <w:spacing w:val="-10"/>
                <w:sz w:val="21"/>
                <w:szCs w:val="21"/>
              </w:rPr>
              <w:sym w:font="Wingdings 2" w:char="0052"/>
            </w:r>
            <w:r>
              <w:rPr>
                <w:rFonts w:hint="eastAsia" w:ascii="宋体" w:hAnsi="宋体"/>
                <w:b/>
                <w:color w:val="000000" w:themeColor="text1"/>
                <w:sz w:val="21"/>
                <w:szCs w:val="21"/>
              </w:rPr>
              <w:t>质量/</w:t>
            </w:r>
            <w:r>
              <w:rPr>
                <w:rFonts w:hint="eastAsia"/>
                <w:b/>
                <w:color w:val="000000" w:themeColor="text1"/>
                <w:spacing w:val="-10"/>
                <w:sz w:val="21"/>
                <w:szCs w:val="21"/>
              </w:rPr>
              <w:t>□</w:t>
            </w:r>
            <w:r>
              <w:rPr>
                <w:rFonts w:hint="eastAsia" w:ascii="宋体" w:hAnsi="宋体"/>
                <w:b/>
                <w:color w:val="000000" w:themeColor="text1"/>
                <w:sz w:val="21"/>
                <w:szCs w:val="21"/>
              </w:rPr>
              <w:t>环境/</w:t>
            </w:r>
            <w:r>
              <w:rPr>
                <w:rFonts w:hint="eastAsia"/>
                <w:b/>
                <w:color w:val="000000" w:themeColor="text1"/>
                <w:spacing w:val="-10"/>
                <w:sz w:val="21"/>
                <w:szCs w:val="21"/>
              </w:rPr>
              <w:t>□</w:t>
            </w:r>
            <w:r>
              <w:rPr>
                <w:rFonts w:hint="eastAsia" w:ascii="宋体" w:hAnsi="宋体"/>
                <w:b/>
                <w:color w:val="000000" w:themeColor="text1"/>
                <w:sz w:val="21"/>
                <w:szCs w:val="21"/>
              </w:rPr>
              <w:t>职业健康安全方针（组织</w:t>
            </w:r>
            <w:r>
              <w:rPr>
                <w:rFonts w:hint="eastAsia"/>
                <w:b/>
                <w:color w:val="000000" w:themeColor="text1"/>
                <w:sz w:val="21"/>
                <w:szCs w:val="21"/>
              </w:rPr>
              <w:t>方针</w:t>
            </w:r>
            <w:r>
              <w:rPr>
                <w:rFonts w:hint="eastAsia" w:ascii="宋体" w:hAnsi="宋体"/>
                <w:b/>
                <w:color w:val="000000" w:themeColor="text1"/>
                <w:sz w:val="21"/>
                <w:szCs w:val="21"/>
              </w:rPr>
              <w:t>的适宜性/持续适宜性、方针的传达及职工的理解等）</w:t>
            </w:r>
          </w:p>
          <w:p>
            <w:pPr>
              <w:spacing w:line="360" w:lineRule="auto"/>
              <w:ind w:firstLine="420" w:firstLineChars="200"/>
              <w:rPr>
                <w:rFonts w:hint="eastAsia"/>
                <w:sz w:val="21"/>
                <w:szCs w:val="21"/>
              </w:rPr>
            </w:pPr>
            <w:r>
              <w:rPr>
                <w:rFonts w:hint="eastAsia"/>
                <w:sz w:val="21"/>
                <w:szCs w:val="21"/>
              </w:rPr>
              <w:t>质量方针：</w:t>
            </w:r>
          </w:p>
          <w:p>
            <w:pPr>
              <w:pStyle w:val="2"/>
              <w:spacing w:line="360" w:lineRule="auto"/>
              <w:ind w:firstLine="420" w:firstLineChars="200"/>
              <w:rPr>
                <w:rFonts w:hint="eastAsia"/>
                <w:sz w:val="21"/>
                <w:szCs w:val="21"/>
              </w:rPr>
            </w:pPr>
            <w:r>
              <w:rPr>
                <w:rFonts w:hint="eastAsia"/>
                <w:sz w:val="21"/>
                <w:szCs w:val="21"/>
              </w:rPr>
              <w:t>以人为本，科学管理，品质一流，用户满意</w:t>
            </w:r>
          </w:p>
          <w:p>
            <w:pPr>
              <w:pStyle w:val="2"/>
              <w:spacing w:line="360" w:lineRule="auto"/>
              <w:ind w:firstLine="420" w:firstLineChars="200"/>
              <w:rPr>
                <w:rFonts w:hint="eastAsia"/>
                <w:sz w:val="21"/>
                <w:szCs w:val="21"/>
              </w:rPr>
            </w:pPr>
            <w:r>
              <w:rPr>
                <w:rFonts w:hint="eastAsia"/>
                <w:sz w:val="21"/>
                <w:szCs w:val="21"/>
              </w:rPr>
              <w:t>与公司的宗旨相适应：以人为本，与顾客同发展，为社会创造价值；</w:t>
            </w:r>
          </w:p>
          <w:p>
            <w:pPr>
              <w:pStyle w:val="2"/>
              <w:spacing w:line="360" w:lineRule="auto"/>
              <w:ind w:firstLine="420" w:firstLineChars="200"/>
              <w:rPr>
                <w:rFonts w:hint="eastAsia"/>
                <w:sz w:val="21"/>
                <w:szCs w:val="21"/>
              </w:rPr>
            </w:pPr>
            <w:r>
              <w:rPr>
                <w:rFonts w:hint="eastAsia"/>
                <w:sz w:val="21"/>
                <w:szCs w:val="21"/>
              </w:rPr>
              <w:t xml:space="preserve">包括了对产品质量和顾客要求以及持续改进管理体系有效性的承诺； </w:t>
            </w:r>
          </w:p>
          <w:p>
            <w:pPr>
              <w:pStyle w:val="2"/>
              <w:spacing w:line="360" w:lineRule="auto"/>
              <w:ind w:firstLine="420" w:firstLineChars="200"/>
              <w:rPr>
                <w:rFonts w:hint="eastAsia"/>
                <w:sz w:val="21"/>
                <w:szCs w:val="21"/>
              </w:rPr>
            </w:pPr>
            <w:r>
              <w:rPr>
                <w:rFonts w:hint="eastAsia"/>
                <w:sz w:val="21"/>
                <w:szCs w:val="21"/>
              </w:rPr>
              <w:t>提供了制定和评审质量目标的框架。</w:t>
            </w:r>
          </w:p>
          <w:p>
            <w:pPr>
              <w:pStyle w:val="2"/>
              <w:spacing w:line="360" w:lineRule="auto"/>
              <w:ind w:firstLine="420" w:firstLineChars="200"/>
              <w:rPr>
                <w:b/>
                <w:color w:val="000000" w:themeColor="text1"/>
                <w:sz w:val="21"/>
                <w:szCs w:val="21"/>
              </w:rPr>
            </w:pPr>
            <w:r>
              <w:rPr>
                <w:rFonts w:hint="eastAsia"/>
                <w:sz w:val="21"/>
                <w:szCs w:val="21"/>
              </w:rPr>
              <w:t>方针适宜于公司现状，在管理手册中明确，通过文件发放，使员工获知，适用时提供给相关方。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20" w:type="dxa"/>
            <w:vMerge w:val="continue"/>
            <w:textDirection w:val="tbRlV"/>
            <w:vAlign w:val="center"/>
          </w:tcPr>
          <w:p>
            <w:pPr>
              <w:spacing w:line="360" w:lineRule="auto"/>
              <w:ind w:left="201" w:right="113" w:hanging="211" w:hangingChars="100"/>
              <w:jc w:val="center"/>
              <w:rPr>
                <w:rFonts w:ascii="宋体" w:hAnsi="宋体"/>
                <w:b/>
                <w:color w:val="000000" w:themeColor="text1"/>
                <w:sz w:val="21"/>
                <w:szCs w:val="21"/>
              </w:rPr>
            </w:pPr>
          </w:p>
        </w:tc>
        <w:tc>
          <w:tcPr>
            <w:tcW w:w="9198" w:type="dxa"/>
          </w:tcPr>
          <w:p>
            <w:pPr>
              <w:spacing w:line="360" w:lineRule="auto"/>
              <w:rPr>
                <w:rFonts w:hint="eastAsia"/>
                <w:b/>
                <w:color w:val="000000" w:themeColor="text1"/>
                <w:sz w:val="21"/>
                <w:szCs w:val="21"/>
              </w:rPr>
            </w:pPr>
            <w:r>
              <w:rPr>
                <w:b/>
                <w:color w:val="000000" w:themeColor="text1"/>
                <w:sz w:val="21"/>
                <w:szCs w:val="21"/>
              </w:rPr>
              <w:t>4、</w:t>
            </w:r>
            <w:r>
              <w:rPr>
                <w:rFonts w:hint="eastAsia"/>
                <w:b/>
                <w:color w:val="000000" w:themeColor="text1"/>
                <w:sz w:val="21"/>
                <w:szCs w:val="21"/>
              </w:rPr>
              <w:t>风险识别与控制策划（QMS）</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提供《风险和机遇评估分析表》，识别了风险和机遇来源、风险和机遇内容、管理措施、责任部门、实时时间、评价措施等：</w:t>
            </w:r>
          </w:p>
          <w:p>
            <w:pPr>
              <w:spacing w:line="360" w:lineRule="auto"/>
              <w:ind w:firstLine="420" w:firstLineChars="200"/>
              <w:rPr>
                <w:b/>
                <w:color w:val="000000" w:themeColor="text1"/>
                <w:sz w:val="21"/>
                <w:szCs w:val="21"/>
              </w:rPr>
            </w:pPr>
            <w:r>
              <w:rPr>
                <w:rFonts w:hint="default" w:ascii="Times New Roman" w:hAnsi="Times New Roman" w:cs="Times New Roman"/>
                <w:sz w:val="21"/>
                <w:szCs w:val="21"/>
              </w:rPr>
              <w:t>风险、机遇：从客户开发、合同评审、产品交付、领导作用、信息交流、采购管理、仓库管理等方面进行分析评估。</w:t>
            </w:r>
            <w:r>
              <w:rPr>
                <w:rFonts w:hint="eastAsia" w:ascii="Times New Roman" w:hAnsi="Times New Roman" w:cs="Times New Roman"/>
                <w:sz w:val="21"/>
                <w:szCs w:val="21"/>
              </w:rPr>
              <w:t>应对措施：与风险、机遇相适应。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tcPr>
          <w:p>
            <w:pPr>
              <w:spacing w:line="360" w:lineRule="auto"/>
              <w:rPr>
                <w:rFonts w:ascii="宋体" w:hAnsi="宋体"/>
                <w:b/>
                <w:color w:val="000000" w:themeColor="text1"/>
                <w:sz w:val="21"/>
                <w:szCs w:val="21"/>
              </w:rPr>
            </w:pPr>
            <w:r>
              <w:rPr>
                <w:rFonts w:hint="eastAsia"/>
                <w:b/>
                <w:color w:val="000000" w:themeColor="text1"/>
                <w:sz w:val="21"/>
                <w:szCs w:val="21"/>
              </w:rPr>
              <w:t>5.</w:t>
            </w:r>
            <w:r>
              <w:rPr>
                <w:b/>
                <w:color w:val="000000" w:themeColor="text1"/>
                <w:sz w:val="21"/>
                <w:szCs w:val="21"/>
              </w:rPr>
              <w:t>QMS</w:t>
            </w:r>
            <w:r>
              <w:rPr>
                <w:rFonts w:hint="eastAsia" w:ascii="宋体" w:hAnsi="宋体"/>
                <w:b/>
                <w:color w:val="000000" w:themeColor="text1"/>
                <w:sz w:val="21"/>
                <w:szCs w:val="21"/>
              </w:rPr>
              <w:t>过程</w:t>
            </w:r>
          </w:p>
          <w:p>
            <w:pPr>
              <w:adjustRightInd w:val="0"/>
              <w:snapToGrid w:val="0"/>
              <w:spacing w:line="360" w:lineRule="auto"/>
              <w:ind w:right="105" w:rightChars="50" w:firstLine="422" w:firstLineChars="200"/>
              <w:textAlignment w:val="baseline"/>
              <w:rPr>
                <w:rFonts w:hint="eastAsia" w:ascii="宋体" w:hAnsi="宋体"/>
                <w:b/>
                <w:color w:val="000000" w:themeColor="text1"/>
                <w:sz w:val="21"/>
                <w:szCs w:val="21"/>
              </w:rPr>
            </w:pPr>
            <w:r>
              <w:rPr>
                <w:rFonts w:hint="eastAsia" w:ascii="宋体" w:hAnsi="宋体"/>
                <w:b/>
                <w:color w:val="000000" w:themeColor="text1"/>
                <w:sz w:val="21"/>
                <w:szCs w:val="21"/>
              </w:rPr>
              <w:t>质量管理体系过程有：</w:t>
            </w:r>
          </w:p>
          <w:p>
            <w:pPr>
              <w:adjustRightInd w:val="0"/>
              <w:snapToGrid w:val="0"/>
              <w:spacing w:line="360" w:lineRule="auto"/>
              <w:ind w:right="105" w:rightChars="50" w:firstLine="396" w:firstLineChars="200"/>
              <w:textAlignment w:val="baseline"/>
              <w:rPr>
                <w:rFonts w:hint="eastAsia" w:eastAsia="宋体"/>
                <w:b/>
                <w:sz w:val="21"/>
                <w:szCs w:val="21"/>
                <w:highlight w:val="none"/>
                <w:lang w:eastAsia="zh-CN"/>
              </w:rPr>
            </w:pPr>
            <w:r>
              <w:rPr>
                <w:rFonts w:hint="eastAsia" w:ascii="宋体" w:hAnsi="宋体" w:cs="Arial"/>
                <w:spacing w:val="-6"/>
                <w:sz w:val="21"/>
                <w:szCs w:val="21"/>
                <w:highlight w:val="none"/>
                <w:lang w:val="en-US" w:eastAsia="zh-CN"/>
              </w:rPr>
              <w:t>水剂：制水/备瓶/配药——检验/化验——罐装——检验/化验——封装/包装</w:t>
            </w:r>
            <w:r>
              <w:rPr>
                <w:rFonts w:hint="eastAsia"/>
                <w:b/>
                <w:sz w:val="21"/>
                <w:szCs w:val="21"/>
                <w:highlight w:val="none"/>
                <w:lang w:val="en-US" w:eastAsia="zh-CN"/>
              </w:rPr>
              <w:t xml:space="preserve"> </w:t>
            </w:r>
          </w:p>
          <w:p>
            <w:pPr>
              <w:adjustRightInd w:val="0"/>
              <w:snapToGrid w:val="0"/>
              <w:spacing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粉剂：原材料——破碎——过筛——混合——检验——分装——检验——包装</w:t>
            </w:r>
          </w:p>
          <w:p>
            <w:pPr>
              <w:adjustRightInd w:val="0"/>
              <w:snapToGrid w:val="0"/>
              <w:spacing w:line="360" w:lineRule="auto"/>
              <w:ind w:right="105" w:rightChars="50" w:firstLine="396" w:firstLineChars="200"/>
              <w:textAlignment w:val="baseline"/>
              <w:rPr>
                <w:rFonts w:ascii="宋体" w:hAnsi="宋体"/>
                <w:b/>
                <w:color w:val="000000" w:themeColor="text1"/>
                <w:sz w:val="21"/>
                <w:szCs w:val="21"/>
                <w:u w:val="single"/>
              </w:rPr>
            </w:pPr>
            <w:r>
              <w:rPr>
                <w:rFonts w:hint="eastAsia" w:ascii="宋体" w:hAnsi="宋体" w:cs="Arial"/>
                <w:spacing w:val="-6"/>
                <w:sz w:val="21"/>
                <w:szCs w:val="21"/>
                <w:highlight w:val="none"/>
                <w:lang w:val="en-US" w:eastAsia="zh-CN"/>
              </w:rPr>
              <w:t>经确认，本公司无需要确认的过程。</w:t>
            </w:r>
          </w:p>
          <w:p>
            <w:pPr>
              <w:tabs>
                <w:tab w:val="left" w:pos="540"/>
              </w:tabs>
              <w:spacing w:line="360" w:lineRule="auto"/>
              <w:ind w:left="201" w:hanging="211" w:hangingChars="100"/>
              <w:rPr>
                <w:rFonts w:ascii="宋体" w:hAnsi="宋体"/>
                <w:b/>
                <w:color w:val="000000" w:themeColor="text1"/>
                <w:sz w:val="21"/>
                <w:szCs w:val="21"/>
                <w:u w:val="single"/>
              </w:rPr>
            </w:pPr>
            <w:r>
              <w:rPr>
                <w:rFonts w:hint="eastAsia" w:ascii="宋体" w:hAnsi="宋体"/>
                <w:b/>
                <w:color w:val="000000" w:themeColor="text1"/>
                <w:sz w:val="21"/>
                <w:szCs w:val="21"/>
              </w:rPr>
              <w:t>其中关键过程有</w:t>
            </w:r>
            <w:r>
              <w:rPr>
                <w:rFonts w:hint="eastAsia" w:ascii="宋体" w:hAnsi="宋体"/>
                <w:b/>
                <w:color w:val="000000" w:themeColor="text1"/>
                <w:sz w:val="21"/>
                <w:szCs w:val="21"/>
                <w:u w:val="single"/>
              </w:rPr>
              <w:t>水剂—配药、粉剂—破碎；</w:t>
            </w:r>
          </w:p>
          <w:p>
            <w:pPr>
              <w:tabs>
                <w:tab w:val="left" w:pos="540"/>
              </w:tabs>
              <w:spacing w:line="360" w:lineRule="auto"/>
              <w:ind w:left="201" w:hanging="211" w:hangingChars="100"/>
              <w:rPr>
                <w:rFonts w:hint="eastAsia" w:ascii="宋体" w:hAnsi="宋体" w:eastAsia="宋体"/>
                <w:b/>
                <w:color w:val="000000" w:themeColor="text1"/>
                <w:sz w:val="21"/>
                <w:szCs w:val="21"/>
                <w:u w:val="single"/>
                <w:lang w:val="en-US" w:eastAsia="zh-CN"/>
              </w:rPr>
            </w:pPr>
            <w:r>
              <w:rPr>
                <w:rFonts w:hint="eastAsia" w:ascii="宋体" w:hAnsi="宋体"/>
                <w:b/>
                <w:color w:val="000000" w:themeColor="text1"/>
                <w:sz w:val="21"/>
                <w:szCs w:val="21"/>
              </w:rPr>
              <w:t xml:space="preserve">需要确认过程  </w:t>
            </w:r>
            <w:r>
              <w:rPr>
                <w:rFonts w:hint="eastAsia" w:ascii="宋体" w:hAnsi="宋体"/>
                <w:b/>
                <w:color w:val="000000" w:themeColor="text1"/>
                <w:sz w:val="21"/>
                <w:szCs w:val="21"/>
                <w:lang w:val="en-US" w:eastAsia="zh-CN"/>
              </w:rPr>
              <w:t>/</w:t>
            </w:r>
          </w:p>
          <w:p>
            <w:pPr>
              <w:tabs>
                <w:tab w:val="left" w:pos="540"/>
              </w:tabs>
              <w:spacing w:line="360" w:lineRule="auto"/>
              <w:ind w:left="201" w:hanging="211" w:hangingChars="100"/>
              <w:rPr>
                <w:rFonts w:ascii="宋体" w:hAnsi="宋体"/>
                <w:b/>
                <w:color w:val="000000" w:themeColor="text1"/>
                <w:sz w:val="21"/>
                <w:szCs w:val="21"/>
              </w:rPr>
            </w:pPr>
            <w:r>
              <w:rPr>
                <w:rFonts w:ascii="宋体" w:hAnsi="宋体"/>
                <w:b/>
                <w:color w:val="000000" w:themeColor="text1"/>
                <w:sz w:val="21"/>
                <w:szCs w:val="21"/>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1"/>
                <w:szCs w:val="21"/>
              </w:rPr>
              <w:t xml:space="preserve">不适用条款是 </w:t>
            </w:r>
            <w:r>
              <w:rPr>
                <w:rFonts w:hint="eastAsia" w:ascii="宋体" w:hAnsi="宋体"/>
                <w:b/>
                <w:color w:val="000000" w:themeColor="text1"/>
                <w:sz w:val="21"/>
                <w:szCs w:val="21"/>
                <w:lang w:val="en-US" w:eastAsia="zh-CN"/>
              </w:rPr>
              <w:t>8.3</w:t>
            </w:r>
            <w:r>
              <w:rPr>
                <w:rFonts w:hint="eastAsia" w:ascii="宋体" w:hAnsi="宋体"/>
                <w:b/>
                <w:color w:val="000000" w:themeColor="text1"/>
                <w:sz w:val="21"/>
                <w:szCs w:val="21"/>
              </w:rPr>
              <w:t xml:space="preserve">    ，不适用理由：</w:t>
            </w:r>
            <w:r>
              <w:rPr>
                <w:rFonts w:hint="eastAsia" w:ascii="Times New Roman" w:hAnsi="Times New Roman" w:cs="Times New Roman"/>
                <w:sz w:val="21"/>
                <w:szCs w:val="21"/>
              </w:rPr>
              <w:t>本公司生产的资质范围内的兽药生产，按照顾客要求，国家或行业相关标准要求进行制造生产，其生产过程不涉及GB/T19001-2016/ISO 9001：2015标准中8.3条款内容，其不适用的要求不影响组织确保其产品和服务合格的能力和责任，对增强顾客满意也不会产生影响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tcPr>
          <w:p>
            <w:pPr>
              <w:spacing w:line="360" w:lineRule="auto"/>
              <w:rPr>
                <w:rFonts w:ascii="宋体" w:hAnsi="宋体"/>
                <w:b/>
                <w:color w:val="000000" w:themeColor="text1"/>
                <w:spacing w:val="-12"/>
                <w:sz w:val="21"/>
                <w:szCs w:val="21"/>
              </w:rPr>
            </w:pPr>
            <w:r>
              <w:rPr>
                <w:rFonts w:hint="eastAsia"/>
                <w:b/>
                <w:color w:val="000000" w:themeColor="text1"/>
                <w:sz w:val="21"/>
                <w:szCs w:val="21"/>
              </w:rPr>
              <w:t xml:space="preserve">6. </w:t>
            </w:r>
            <w:r>
              <w:rPr>
                <w:b/>
                <w:color w:val="000000" w:themeColor="text1"/>
                <w:spacing w:val="-12"/>
                <w:sz w:val="21"/>
                <w:szCs w:val="21"/>
              </w:rPr>
              <w:t>EMS</w:t>
            </w:r>
            <w:r>
              <w:rPr>
                <w:rFonts w:hint="eastAsia" w:ascii="宋体" w:hAnsi="宋体"/>
                <w:b/>
                <w:color w:val="000000" w:themeColor="text1"/>
                <w:spacing w:val="-12"/>
                <w:sz w:val="21"/>
                <w:szCs w:val="21"/>
              </w:rPr>
              <w:t>环境因素/</w:t>
            </w:r>
          </w:p>
          <w:p>
            <w:pPr>
              <w:spacing w:line="360" w:lineRule="auto"/>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环境因素</w:t>
            </w:r>
            <w:r>
              <w:rPr>
                <w:rFonts w:hint="eastAsia" w:ascii="宋体" w:hAnsi="宋体"/>
                <w:b/>
                <w:color w:val="000000" w:themeColor="text1"/>
                <w:sz w:val="21"/>
                <w:szCs w:val="21"/>
              </w:rPr>
              <w:t>辨识是否充分、重要环境因素评价合理性，</w:t>
            </w:r>
            <w:r>
              <w:rPr>
                <w:rFonts w:hint="eastAsia" w:ascii="宋体" w:hAnsi="宋体"/>
                <w:b/>
                <w:color w:val="000000" w:themeColor="text1"/>
                <w:spacing w:val="-8"/>
                <w:sz w:val="21"/>
                <w:szCs w:val="21"/>
              </w:rPr>
              <w:t>以及环境因素动态变更的及时性等）</w:t>
            </w:r>
          </w:p>
          <w:p>
            <w:pPr>
              <w:spacing w:line="360" w:lineRule="auto"/>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tcPr>
          <w:p>
            <w:pPr>
              <w:spacing w:line="360" w:lineRule="auto"/>
              <w:rPr>
                <w:rFonts w:ascii="宋体" w:hAnsi="宋体"/>
                <w:b/>
                <w:color w:val="000000" w:themeColor="text1"/>
                <w:spacing w:val="-12"/>
                <w:sz w:val="21"/>
                <w:szCs w:val="21"/>
              </w:rPr>
            </w:pPr>
            <w:r>
              <w:rPr>
                <w:rFonts w:hint="eastAsia"/>
                <w:b/>
                <w:color w:val="000000" w:themeColor="text1"/>
                <w:spacing w:val="-10"/>
                <w:sz w:val="21"/>
                <w:szCs w:val="21"/>
              </w:rPr>
              <w:t xml:space="preserve">7. </w:t>
            </w:r>
            <w:r>
              <w:rPr>
                <w:b/>
                <w:color w:val="000000" w:themeColor="text1"/>
                <w:spacing w:val="-12"/>
                <w:sz w:val="21"/>
                <w:szCs w:val="21"/>
              </w:rPr>
              <w:t>OHSMS</w:t>
            </w:r>
            <w:r>
              <w:rPr>
                <w:rFonts w:hint="eastAsia" w:ascii="宋体" w:hAnsi="宋体"/>
                <w:b/>
                <w:color w:val="000000" w:themeColor="text1"/>
                <w:spacing w:val="-12"/>
                <w:sz w:val="21"/>
                <w:szCs w:val="21"/>
              </w:rPr>
              <w:t>职业健康安全危险源</w:t>
            </w:r>
          </w:p>
          <w:p>
            <w:pPr>
              <w:spacing w:line="360" w:lineRule="auto"/>
              <w:rPr>
                <w:rFonts w:hint="eastAsia"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职业健康安全危险源</w:t>
            </w:r>
            <w:r>
              <w:rPr>
                <w:rFonts w:hint="eastAsia" w:ascii="宋体" w:hAnsi="宋体"/>
                <w:b/>
                <w:color w:val="000000" w:themeColor="text1"/>
                <w:sz w:val="21"/>
                <w:szCs w:val="21"/>
              </w:rPr>
              <w:t>辨识是否充分、风险评价合理性，</w:t>
            </w:r>
            <w:r>
              <w:rPr>
                <w:rFonts w:hint="eastAsia" w:ascii="宋体" w:hAnsi="宋体"/>
                <w:b/>
                <w:color w:val="000000" w:themeColor="text1"/>
                <w:spacing w:val="-8"/>
                <w:sz w:val="21"/>
                <w:szCs w:val="21"/>
              </w:rPr>
              <w:t>以及风险评价动态变更的及时性等）</w:t>
            </w:r>
          </w:p>
          <w:p>
            <w:pPr>
              <w:spacing w:line="360" w:lineRule="auto"/>
              <w:rPr>
                <w:rFonts w:hint="eastAsia" w:eastAsia="宋体"/>
                <w:b/>
                <w:color w:val="000000" w:themeColor="text1"/>
                <w:sz w:val="21"/>
                <w:szCs w:val="21"/>
                <w:lang w:val="en-US" w:eastAsia="zh-CN"/>
              </w:rPr>
            </w:pPr>
            <w:r>
              <w:rPr>
                <w:rFonts w:hint="eastAsia" w:ascii="宋体" w:hAnsi="宋体"/>
                <w:b/>
                <w:color w:val="000000" w:themeColor="text1"/>
                <w:spacing w:val="-8"/>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tcPr>
          <w:p>
            <w:pPr>
              <w:spacing w:line="360" w:lineRule="auto"/>
              <w:rPr>
                <w:b/>
                <w:color w:val="000000" w:themeColor="text1"/>
                <w:spacing w:val="-4"/>
                <w:sz w:val="21"/>
                <w:szCs w:val="21"/>
              </w:rPr>
            </w:pPr>
            <w:r>
              <w:rPr>
                <w:rFonts w:hint="eastAsia"/>
                <w:b/>
                <w:color w:val="000000" w:themeColor="text1"/>
                <w:sz w:val="21"/>
                <w:szCs w:val="21"/>
              </w:rPr>
              <w:t xml:space="preserve">4. </w:t>
            </w:r>
            <w:r>
              <w:rPr>
                <w:rFonts w:hint="eastAsia" w:ascii="宋体" w:hAnsi="宋体"/>
                <w:b/>
                <w:color w:val="000000" w:themeColor="text1"/>
                <w:spacing w:val="-4"/>
                <w:sz w:val="21"/>
                <w:szCs w:val="21"/>
              </w:rPr>
              <w:t>法律法规及其他要求</w:t>
            </w:r>
          </w:p>
          <w:p>
            <w:pPr>
              <w:pStyle w:val="12"/>
              <w:numPr>
                <w:ilvl w:val="0"/>
                <w:numId w:val="2"/>
              </w:numPr>
              <w:tabs>
                <w:tab w:val="left" w:pos="540"/>
              </w:tabs>
              <w:spacing w:line="360" w:lineRule="auto"/>
              <w:ind w:firstLineChars="0"/>
              <w:rPr>
                <w:rFonts w:ascii="宋体" w:hAnsi="宋体"/>
                <w:b/>
                <w:color w:val="000000" w:themeColor="text1"/>
                <w:sz w:val="21"/>
                <w:szCs w:val="21"/>
              </w:rPr>
            </w:pPr>
            <w:r>
              <w:rPr>
                <w:rFonts w:hint="eastAsia" w:ascii="宋体" w:hAnsi="宋体"/>
                <w:b/>
                <w:color w:val="000000" w:themeColor="text1"/>
                <w:sz w:val="21"/>
                <w:szCs w:val="21"/>
              </w:rPr>
              <w:t>获取法律法规项，</w:t>
            </w:r>
            <w:r>
              <w:rPr>
                <w:rFonts w:hint="eastAsia" w:ascii="宋体" w:hAnsi="宋体"/>
                <w:b/>
                <w:color w:val="000000" w:themeColor="text1"/>
                <w:sz w:val="21"/>
                <w:szCs w:val="21"/>
              </w:rPr>
              <w:sym w:font="Wingdings 2" w:char="0052"/>
            </w:r>
            <w:r>
              <w:rPr>
                <w:rFonts w:hint="eastAsia" w:ascii="宋体" w:hAnsi="宋体"/>
                <w:b/>
                <w:color w:val="000000" w:themeColor="text1"/>
                <w:sz w:val="21"/>
                <w:szCs w:val="21"/>
              </w:rPr>
              <w:t>法律法规获取充分，□法律法规获取有遗漏，缺少</w:t>
            </w:r>
          </w:p>
          <w:p>
            <w:pPr>
              <w:pStyle w:val="12"/>
              <w:numPr>
                <w:ilvl w:val="0"/>
                <w:numId w:val="2"/>
              </w:numPr>
              <w:tabs>
                <w:tab w:val="left" w:pos="540"/>
              </w:tabs>
              <w:spacing w:line="360" w:lineRule="auto"/>
              <w:ind w:firstLineChars="0"/>
              <w:rPr>
                <w:rFonts w:ascii="宋体" w:hAnsi="宋体"/>
                <w:b/>
                <w:color w:val="000000" w:themeColor="text1"/>
                <w:sz w:val="21"/>
                <w:szCs w:val="21"/>
              </w:rPr>
            </w:pPr>
            <w:r>
              <w:rPr>
                <w:rFonts w:hint="eastAsia" w:ascii="宋体" w:hAnsi="宋体"/>
                <w:b/>
                <w:color w:val="000000" w:themeColor="text1"/>
                <w:sz w:val="21"/>
                <w:szCs w:val="21"/>
              </w:rPr>
              <w:t>结合公司的</w:t>
            </w:r>
            <w:r>
              <w:rPr>
                <w:rFonts w:hint="eastAsia" w:ascii="宋体" w:hAnsi="宋体"/>
                <w:b/>
                <w:color w:val="000000" w:themeColor="text1"/>
                <w:sz w:val="21"/>
                <w:szCs w:val="21"/>
              </w:rPr>
              <w:sym w:font="Wingdings 2" w:char="0052"/>
            </w:r>
            <w:r>
              <w:rPr>
                <w:rFonts w:hint="eastAsia" w:ascii="宋体" w:hAnsi="宋体"/>
                <w:b/>
                <w:color w:val="000000" w:themeColor="text1"/>
                <w:sz w:val="21"/>
                <w:szCs w:val="21"/>
              </w:rPr>
              <w:t>产品/服务□环境因素□危险源，</w:t>
            </w:r>
            <w:r>
              <w:rPr>
                <w:rFonts w:hint="eastAsia" w:ascii="宋体" w:hAnsi="宋体"/>
                <w:b/>
                <w:color w:val="000000" w:themeColor="text1"/>
                <w:sz w:val="21"/>
                <w:szCs w:val="21"/>
              </w:rPr>
              <w:sym w:font="Wingdings 2" w:char="0052"/>
            </w:r>
            <w:r>
              <w:rPr>
                <w:rFonts w:hint="eastAsia" w:ascii="宋体" w:hAnsi="宋体"/>
                <w:b/>
                <w:color w:val="000000" w:themeColor="text1"/>
                <w:sz w:val="21"/>
                <w:szCs w:val="21"/>
              </w:rPr>
              <w:t>确定 □未确定法律法规要求的具体条款，</w:t>
            </w:r>
          </w:p>
          <w:p>
            <w:pPr>
              <w:pStyle w:val="12"/>
              <w:numPr>
                <w:ilvl w:val="0"/>
                <w:numId w:val="2"/>
              </w:numPr>
              <w:tabs>
                <w:tab w:val="left" w:pos="540"/>
              </w:tabs>
              <w:spacing w:line="360" w:lineRule="auto"/>
              <w:ind w:firstLineChars="0"/>
              <w:rPr>
                <w:rFonts w:ascii="宋体" w:hAnsi="宋体"/>
                <w:b/>
                <w:color w:val="000000" w:themeColor="text1"/>
                <w:sz w:val="21"/>
                <w:szCs w:val="21"/>
              </w:rPr>
            </w:pPr>
            <w:r>
              <w:rPr>
                <w:rFonts w:hint="eastAsia" w:ascii="宋体" w:hAnsi="宋体"/>
                <w:b/>
                <w:color w:val="000000" w:themeColor="text1"/>
                <w:sz w:val="21"/>
                <w:szCs w:val="21"/>
              </w:rPr>
              <w:t>法律法规的宣传方式：</w:t>
            </w:r>
          </w:p>
          <w:p>
            <w:pPr>
              <w:pStyle w:val="12"/>
              <w:numPr>
                <w:ilvl w:val="0"/>
                <w:numId w:val="2"/>
              </w:numPr>
              <w:tabs>
                <w:tab w:val="left" w:pos="540"/>
              </w:tabs>
              <w:spacing w:line="360" w:lineRule="auto"/>
              <w:ind w:firstLineChars="0"/>
              <w:rPr>
                <w:rFonts w:ascii="宋体" w:hAnsi="宋体"/>
                <w:b/>
                <w:color w:val="000000" w:themeColor="text1"/>
                <w:sz w:val="21"/>
                <w:szCs w:val="21"/>
              </w:rPr>
            </w:pPr>
            <w:r>
              <w:rPr>
                <w:rFonts w:hint="eastAsia" w:ascii="宋体" w:hAnsi="宋体"/>
                <w:b/>
                <w:color w:val="000000" w:themeColor="text1"/>
                <w:sz w:val="21"/>
                <w:szCs w:val="21"/>
              </w:rPr>
              <w:t>法律法规要求及时更新了</w:t>
            </w:r>
          </w:p>
          <w:p>
            <w:pPr>
              <w:tabs>
                <w:tab w:val="left" w:pos="0"/>
              </w:tabs>
              <w:spacing w:line="360" w:lineRule="auto"/>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tcPr>
          <w:p>
            <w:pPr>
              <w:spacing w:line="360" w:lineRule="auto"/>
              <w:rPr>
                <w:rFonts w:ascii="宋体" w:hAnsi="宋体"/>
                <w:b/>
                <w:color w:val="000000" w:themeColor="text1"/>
                <w:sz w:val="21"/>
                <w:szCs w:val="21"/>
              </w:rPr>
            </w:pPr>
            <w:r>
              <w:rPr>
                <w:rFonts w:hint="eastAsia"/>
                <w:b/>
                <w:color w:val="000000" w:themeColor="text1"/>
                <w:sz w:val="21"/>
                <w:szCs w:val="21"/>
              </w:rPr>
              <w:t xml:space="preserve">5. </w:t>
            </w:r>
            <w:r>
              <w:rPr>
                <w:rFonts w:hint="eastAsia" w:ascii="宋体" w:hAnsi="宋体"/>
                <w:b/>
                <w:color w:val="000000" w:themeColor="text1"/>
                <w:sz w:val="21"/>
                <w:szCs w:val="21"/>
              </w:rPr>
              <w:t>目标、方案</w:t>
            </w:r>
          </w:p>
          <w:p>
            <w:pPr>
              <w:spacing w:line="360" w:lineRule="auto"/>
              <w:rPr>
                <w:rFonts w:ascii="宋体" w:hAnsi="宋体"/>
                <w:b/>
                <w:color w:val="000000" w:themeColor="text1"/>
                <w:sz w:val="21"/>
                <w:szCs w:val="21"/>
              </w:rPr>
            </w:pPr>
            <w:r>
              <w:rPr>
                <w:rFonts w:hint="eastAsia"/>
                <w:b/>
                <w:color w:val="000000" w:themeColor="text1"/>
                <w:sz w:val="21"/>
                <w:szCs w:val="21"/>
              </w:rPr>
              <w:t>（</w:t>
            </w:r>
            <w:r>
              <w:rPr>
                <w:rFonts w:hint="eastAsia" w:ascii="宋体" w:hAnsi="宋体"/>
                <w:b/>
                <w:color w:val="000000" w:themeColor="text1"/>
                <w:spacing w:val="-4"/>
                <w:sz w:val="21"/>
                <w:szCs w:val="21"/>
              </w:rPr>
              <w:t>在相关层次上建立</w:t>
            </w:r>
            <w:r>
              <w:rPr>
                <w:rFonts w:hint="eastAsia" w:ascii="宋体" w:hAnsi="宋体"/>
                <w:b/>
                <w:color w:val="000000" w:themeColor="text1"/>
                <w:sz w:val="21"/>
                <w:szCs w:val="21"/>
              </w:rPr>
              <w:t>可测量的目标，目标、方案的有效性，对质量目标的实现情况进行评价并叙述测量方法）</w:t>
            </w:r>
          </w:p>
          <w:p>
            <w:pPr>
              <w:pStyle w:val="2"/>
              <w:spacing w:line="360" w:lineRule="auto"/>
              <w:ind w:firstLine="420" w:firstLineChars="200"/>
              <w:rPr>
                <w:rFonts w:hint="eastAsia"/>
                <w:sz w:val="21"/>
                <w:szCs w:val="21"/>
              </w:rPr>
            </w:pPr>
            <w:r>
              <w:rPr>
                <w:rFonts w:hint="eastAsia"/>
                <w:sz w:val="21"/>
                <w:szCs w:val="21"/>
              </w:rPr>
              <w:t>产品出厂合格率100%；</w:t>
            </w:r>
          </w:p>
          <w:p>
            <w:pPr>
              <w:pStyle w:val="2"/>
              <w:spacing w:line="360" w:lineRule="auto"/>
              <w:ind w:firstLine="420" w:firstLineChars="200"/>
              <w:rPr>
                <w:rFonts w:hint="eastAsia"/>
                <w:sz w:val="21"/>
                <w:szCs w:val="21"/>
              </w:rPr>
            </w:pPr>
            <w:r>
              <w:rPr>
                <w:rFonts w:hint="eastAsia"/>
                <w:sz w:val="21"/>
                <w:szCs w:val="21"/>
              </w:rPr>
              <w:t>顾客满意度90分以上。</w:t>
            </w:r>
          </w:p>
          <w:p>
            <w:pPr>
              <w:pStyle w:val="2"/>
              <w:spacing w:line="360" w:lineRule="auto"/>
              <w:ind w:firstLine="420" w:firstLineChars="200"/>
              <w:rPr>
                <w:rFonts w:hint="eastAsia"/>
                <w:sz w:val="21"/>
                <w:szCs w:val="21"/>
                <w:lang w:val="en-US" w:eastAsia="zh-CN"/>
              </w:rPr>
            </w:pPr>
            <w:r>
              <w:rPr>
                <w:rFonts w:hint="eastAsia"/>
                <w:sz w:val="21"/>
                <w:szCs w:val="21"/>
                <w:lang w:val="en-US" w:eastAsia="zh-CN"/>
              </w:rPr>
              <w:t>制定“</w:t>
            </w:r>
            <w:r>
              <w:rPr>
                <w:rFonts w:hint="eastAsia" w:ascii="Times New Roman" w:hAnsi="Times New Roman" w:eastAsia="宋体" w:cs="Times New Roman"/>
                <w:sz w:val="21"/>
                <w:szCs w:val="21"/>
                <w:lang w:val="en-US" w:eastAsia="zh-CN"/>
              </w:rPr>
              <w:t>公司目标实施措施表</w:t>
            </w:r>
            <w:r>
              <w:rPr>
                <w:rFonts w:hint="eastAsia"/>
                <w:sz w:val="21"/>
                <w:szCs w:val="21"/>
                <w:lang w:val="en-US" w:eastAsia="zh-CN"/>
              </w:rPr>
              <w:t>”，对目标实现进行了策划；并将目标分解到各部门；</w:t>
            </w:r>
          </w:p>
          <w:p>
            <w:pPr>
              <w:pStyle w:val="2"/>
              <w:spacing w:line="360" w:lineRule="auto"/>
              <w:ind w:firstLine="420" w:firstLineChars="200"/>
              <w:rPr>
                <w:rFonts w:ascii="宋体" w:hAnsi="宋体"/>
                <w:b/>
                <w:color w:val="000000" w:themeColor="text1"/>
                <w:sz w:val="21"/>
                <w:szCs w:val="21"/>
              </w:rPr>
            </w:pPr>
            <w:r>
              <w:rPr>
                <w:rFonts w:hint="eastAsia"/>
                <w:sz w:val="21"/>
                <w:szCs w:val="21"/>
                <w:lang w:val="en-US" w:eastAsia="zh-CN"/>
              </w:rPr>
              <w:t>“质量目标考核表”显示对目标完成情况进行了考核，均完成；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tcPr>
          <w:p>
            <w:pPr>
              <w:spacing w:line="360" w:lineRule="auto"/>
              <w:rPr>
                <w:rFonts w:ascii="宋体" w:hAnsi="宋体"/>
                <w:b/>
                <w:color w:val="000000" w:themeColor="text1"/>
                <w:sz w:val="21"/>
                <w:szCs w:val="21"/>
              </w:rPr>
            </w:pPr>
            <w:r>
              <w:rPr>
                <w:rFonts w:hint="eastAsia"/>
                <w:b/>
                <w:color w:val="000000" w:themeColor="text1"/>
                <w:sz w:val="21"/>
                <w:szCs w:val="21"/>
              </w:rPr>
              <w:t>6. 文件与记录控制 (</w:t>
            </w:r>
            <w:r>
              <w:rPr>
                <w:rFonts w:hint="eastAsia" w:ascii="宋体" w:hAnsi="宋体"/>
                <w:b/>
                <w:color w:val="000000" w:themeColor="text1"/>
                <w:sz w:val="21"/>
                <w:szCs w:val="21"/>
              </w:rPr>
              <w:t>文审修订后文件与标准的符合程度评价、</w:t>
            </w:r>
            <w:r>
              <w:rPr>
                <w:rFonts w:hint="eastAsia" w:ascii="宋体" w:hAnsi="宋体"/>
                <w:b/>
                <w:color w:val="000000" w:themeColor="text1"/>
                <w:spacing w:val="-4"/>
                <w:sz w:val="21"/>
                <w:szCs w:val="21"/>
              </w:rPr>
              <w:t>文件</w:t>
            </w:r>
            <w:r>
              <w:rPr>
                <w:rFonts w:hint="eastAsia" w:ascii="宋体" w:hAnsi="宋体"/>
                <w:b/>
                <w:color w:val="000000" w:themeColor="text1"/>
                <w:sz w:val="21"/>
                <w:szCs w:val="21"/>
              </w:rPr>
              <w:t>控制管理等)</w:t>
            </w:r>
          </w:p>
          <w:p>
            <w:pPr>
              <w:spacing w:line="360" w:lineRule="auto"/>
              <w:ind w:firstLine="420" w:firstLineChars="200"/>
              <w:rPr>
                <w:rFonts w:hint="eastAsia"/>
                <w:sz w:val="21"/>
                <w:szCs w:val="21"/>
                <w:lang w:val="en-US" w:eastAsia="zh-CN"/>
              </w:rPr>
            </w:pPr>
            <w:r>
              <w:rPr>
                <w:rFonts w:hint="eastAsia"/>
                <w:sz w:val="21"/>
                <w:szCs w:val="21"/>
                <w:lang w:val="en-US" w:eastAsia="zh-CN"/>
              </w:rPr>
              <w:t>体系文件包括：</w:t>
            </w:r>
          </w:p>
          <w:p>
            <w:pPr>
              <w:spacing w:line="360" w:lineRule="auto"/>
              <w:ind w:firstLine="420" w:firstLineChars="200"/>
              <w:rPr>
                <w:rFonts w:hint="eastAsia" w:eastAsia="宋体"/>
                <w:sz w:val="21"/>
                <w:szCs w:val="21"/>
                <w:lang w:eastAsia="zh-CN"/>
              </w:rPr>
            </w:pPr>
            <w:r>
              <w:rPr>
                <w:rFonts w:hint="eastAsia"/>
                <w:sz w:val="21"/>
                <w:szCs w:val="21"/>
                <w:lang w:val="en-US" w:eastAsia="zh-CN"/>
              </w:rPr>
              <w:t>管理手册——A/0，</w:t>
            </w:r>
            <w:r>
              <w:rPr>
                <w:rFonts w:hint="eastAsia"/>
                <w:sz w:val="21"/>
                <w:szCs w:val="21"/>
              </w:rPr>
              <w:t>2021年 1月5日</w:t>
            </w:r>
            <w:r>
              <w:rPr>
                <w:rFonts w:hint="eastAsia"/>
                <w:sz w:val="21"/>
                <w:szCs w:val="21"/>
                <w:lang w:eastAsia="zh-CN"/>
              </w:rPr>
              <w:t>；</w:t>
            </w:r>
          </w:p>
          <w:p>
            <w:pPr>
              <w:spacing w:line="360" w:lineRule="auto"/>
              <w:ind w:firstLine="420" w:firstLineChars="200"/>
              <w:rPr>
                <w:rFonts w:hint="eastAsia" w:eastAsia="宋体"/>
                <w:sz w:val="21"/>
                <w:szCs w:val="21"/>
                <w:lang w:val="en-US" w:eastAsia="zh-CN"/>
              </w:rPr>
            </w:pPr>
            <w:r>
              <w:rPr>
                <w:rFonts w:hint="eastAsia"/>
                <w:sz w:val="21"/>
                <w:szCs w:val="21"/>
                <w:lang w:val="en-US" w:eastAsia="zh-CN"/>
              </w:rPr>
              <w:t>程序文件——A/0，</w:t>
            </w:r>
            <w:r>
              <w:rPr>
                <w:rFonts w:hint="eastAsia"/>
                <w:sz w:val="21"/>
                <w:szCs w:val="21"/>
              </w:rPr>
              <w:t>2021年01月05日</w:t>
            </w:r>
            <w:r>
              <w:rPr>
                <w:rFonts w:hint="eastAsia"/>
                <w:sz w:val="21"/>
                <w:szCs w:val="21"/>
                <w:lang w:eastAsia="zh-CN"/>
              </w:rPr>
              <w:t>；</w:t>
            </w:r>
          </w:p>
          <w:p>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管理文件——编制有销售合同管理规定、市场订单管理规定、供应商管理规定、客户信息处理管理规定、采购合同管理规定、客户维护管理规定、计量器具管理规定、入库验收管理规定、质量检验管理规定、不合格品处理管理规定、目标管理规定、设备保养管理规定、生产现场管理规定、生产协调管理规定、劳动合同管理规定、招聘管理规定、员工培训考核管理规定；</w:t>
            </w:r>
          </w:p>
          <w:p>
            <w:pPr>
              <w:spacing w:line="360" w:lineRule="auto"/>
              <w:ind w:firstLine="420" w:firstLineChars="200"/>
              <w:rPr>
                <w:rFonts w:hint="eastAsia"/>
                <w:sz w:val="21"/>
                <w:szCs w:val="21"/>
                <w:lang w:val="en-US" w:eastAsia="zh-CN"/>
              </w:rPr>
            </w:pPr>
            <w:r>
              <w:rPr>
                <w:rFonts w:hint="eastAsia"/>
                <w:sz w:val="21"/>
                <w:szCs w:val="21"/>
                <w:lang w:val="en-US" w:eastAsia="zh-CN"/>
              </w:rPr>
              <w:t>建立有外来文件清单，识别、收集相关标准和法律：质量管理体系—要求GB/T19001-2016/ISO 9001：2015、中华人民共和国劳动合同法、中华人民共和国产品质量法、中华人民共和国安全生产法、中华人民共和国计量法、食品安全国家标准食品中兽药最大残留限量GB31650-2019、中华人民共和国兽药典等；</w:t>
            </w:r>
          </w:p>
          <w:p>
            <w:pPr>
              <w:spacing w:line="360" w:lineRule="auto"/>
              <w:ind w:firstLine="420" w:firstLineChars="200"/>
              <w:rPr>
                <w:rFonts w:ascii="宋体" w:hAnsi="宋体"/>
                <w:b/>
                <w:color w:val="000000" w:themeColor="text1"/>
                <w:sz w:val="21"/>
                <w:szCs w:val="21"/>
              </w:rPr>
            </w:pPr>
            <w:r>
              <w:rPr>
                <w:rFonts w:hint="eastAsia"/>
                <w:color w:val="auto"/>
                <w:sz w:val="21"/>
                <w:szCs w:val="21"/>
                <w:lang w:val="en-US" w:eastAsia="zh-CN"/>
              </w:rPr>
              <w:t>识别了目标管理、资源管理、文件管理、采购、生产、绩效监测、改进等过程。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20" w:type="dxa"/>
            <w:vMerge w:val="restart"/>
            <w:textDirection w:val="tbRlV"/>
            <w:vAlign w:val="center"/>
          </w:tcPr>
          <w:p>
            <w:pPr>
              <w:spacing w:line="360" w:lineRule="auto"/>
              <w:ind w:left="113" w:right="113"/>
              <w:jc w:val="center"/>
              <w:rPr>
                <w:b/>
                <w:color w:val="000000" w:themeColor="text1"/>
                <w:sz w:val="21"/>
                <w:szCs w:val="21"/>
              </w:rPr>
            </w:pPr>
            <w:r>
              <w:rPr>
                <w:b/>
                <w:color w:val="000000" w:themeColor="text1"/>
                <w:sz w:val="21"/>
                <w:szCs w:val="21"/>
              </w:rPr>
              <w:br w:type="page"/>
            </w:r>
            <w:r>
              <w:rPr>
                <w:rFonts w:hint="eastAsia" w:ascii="宋体" w:hAnsi="宋体"/>
                <w:b/>
                <w:color w:val="000000" w:themeColor="text1"/>
                <w:sz w:val="21"/>
                <w:szCs w:val="21"/>
              </w:rPr>
              <w:t>(二)资源评价</w:t>
            </w:r>
          </w:p>
        </w:tc>
        <w:tc>
          <w:tcPr>
            <w:tcW w:w="9198" w:type="dxa"/>
          </w:tcPr>
          <w:p>
            <w:pPr>
              <w:spacing w:line="360" w:lineRule="auto"/>
              <w:rPr>
                <w:b/>
                <w:color w:val="000000" w:themeColor="text1"/>
                <w:sz w:val="21"/>
                <w:szCs w:val="21"/>
              </w:rPr>
            </w:pPr>
            <w:r>
              <w:rPr>
                <w:rFonts w:hint="eastAsia" w:ascii="宋体" w:hAnsi="宋体"/>
                <w:b/>
                <w:color w:val="000000" w:themeColor="text1"/>
                <w:sz w:val="21"/>
                <w:szCs w:val="21"/>
              </w:rPr>
              <w:t>人力资源的简要说明</w:t>
            </w:r>
            <w:r>
              <w:rPr>
                <w:rFonts w:hint="eastAsia"/>
                <w:b/>
                <w:color w:val="000000" w:themeColor="text1"/>
                <w:sz w:val="21"/>
                <w:szCs w:val="21"/>
              </w:rPr>
              <w:t>.</w:t>
            </w:r>
            <w:r>
              <w:rPr>
                <w:rFonts w:hint="eastAsia" w:ascii="宋体" w:hAnsi="宋体"/>
                <w:b/>
                <w:color w:val="000000" w:themeColor="text1"/>
                <w:sz w:val="21"/>
                <w:szCs w:val="21"/>
              </w:rPr>
              <w:t>:</w:t>
            </w:r>
          </w:p>
          <w:p>
            <w:pPr>
              <w:spacing w:line="360" w:lineRule="auto"/>
              <w:ind w:firstLine="420" w:firstLineChars="200"/>
              <w:rPr>
                <w:rFonts w:ascii="宋体" w:hAnsi="宋体"/>
                <w:b/>
                <w:color w:val="000000" w:themeColor="text1"/>
                <w:sz w:val="21"/>
                <w:szCs w:val="21"/>
              </w:rPr>
            </w:pPr>
            <w:r>
              <w:rPr>
                <w:rFonts w:hint="eastAsia"/>
                <w:color w:val="auto"/>
                <w:sz w:val="21"/>
                <w:szCs w:val="21"/>
                <w:highlight w:val="none"/>
                <w:lang w:val="en-US" w:eastAsia="zh-CN"/>
              </w:rPr>
              <w:t>拥有员工100多名，大专以上学历达55%，技术团队达40人。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0" w:type="dxa"/>
            <w:vMerge w:val="continue"/>
            <w:textDirection w:val="tbRlV"/>
            <w:vAlign w:val="center"/>
          </w:tcPr>
          <w:p>
            <w:pPr>
              <w:spacing w:line="360" w:lineRule="auto"/>
              <w:ind w:left="113" w:right="113"/>
              <w:jc w:val="center"/>
              <w:rPr>
                <w:b/>
                <w:color w:val="000000" w:themeColor="text1"/>
                <w:sz w:val="21"/>
                <w:szCs w:val="21"/>
              </w:rPr>
            </w:pPr>
          </w:p>
        </w:tc>
        <w:tc>
          <w:tcPr>
            <w:tcW w:w="9198" w:type="dxa"/>
          </w:tcPr>
          <w:p>
            <w:pPr>
              <w:spacing w:line="360" w:lineRule="auto"/>
              <w:rPr>
                <w:rFonts w:ascii="宋体" w:hAnsi="宋体"/>
                <w:b/>
                <w:color w:val="000000" w:themeColor="text1"/>
                <w:sz w:val="21"/>
                <w:szCs w:val="21"/>
              </w:rPr>
            </w:pPr>
            <w:r>
              <w:rPr>
                <w:rFonts w:hint="eastAsia" w:ascii="宋体" w:hAnsi="宋体"/>
                <w:b/>
                <w:color w:val="000000" w:themeColor="text1"/>
                <w:sz w:val="21"/>
                <w:szCs w:val="21"/>
              </w:rPr>
              <w:t>设备设施（包括信息系统）、</w:t>
            </w:r>
          </w:p>
          <w:p>
            <w:pPr>
              <w:spacing w:line="360" w:lineRule="auto"/>
              <w:ind w:firstLine="420" w:firstLineChars="200"/>
              <w:rPr>
                <w:rFonts w:ascii="宋体" w:hAnsi="宋体"/>
                <w:b/>
                <w:color w:val="000000" w:themeColor="text1"/>
                <w:sz w:val="21"/>
                <w:szCs w:val="21"/>
              </w:rPr>
            </w:pPr>
            <w:r>
              <w:rPr>
                <w:rFonts w:hint="eastAsia" w:ascii="Times New Roman" w:hAnsi="Times New Roman" w:cs="Times New Roman"/>
                <w:sz w:val="21"/>
                <w:szCs w:val="21"/>
                <w:lang w:val="en-US" w:eastAsia="zh-CN"/>
              </w:rPr>
              <w:t>主要设备：二级反渗透机、多效蒸馏水机、注射用水贮水罐、纯化水贮水罐、淡水箱、锤片式粉碎机、传送带、无尘投料站、快速干混机、药物自动包装机、螺杆式空气压缩机、制氮机、振动筛、高速混合机、摇摆制粒机、高效沸腾干燥机、超声波洗瓶机、隧道式灭菌干燥机、拉丝灌封机、不锈钢贮液罐、均质机、安瓿灌封机、全自动轧盖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0" w:type="dxa"/>
            <w:vMerge w:val="continue"/>
            <w:textDirection w:val="tbRlV"/>
            <w:vAlign w:val="center"/>
          </w:tcPr>
          <w:p>
            <w:pPr>
              <w:spacing w:line="360" w:lineRule="auto"/>
              <w:ind w:left="113" w:right="113"/>
              <w:jc w:val="center"/>
              <w:rPr>
                <w:b/>
                <w:color w:val="000000" w:themeColor="text1"/>
                <w:sz w:val="21"/>
                <w:szCs w:val="21"/>
              </w:rPr>
            </w:pPr>
          </w:p>
        </w:tc>
        <w:tc>
          <w:tcPr>
            <w:tcW w:w="9198" w:type="dxa"/>
          </w:tcPr>
          <w:p>
            <w:pPr>
              <w:spacing w:line="360" w:lineRule="auto"/>
              <w:rPr>
                <w:rFonts w:ascii="宋体" w:hAnsi="宋体"/>
                <w:b/>
                <w:color w:val="000000" w:themeColor="text1"/>
                <w:sz w:val="21"/>
                <w:szCs w:val="21"/>
              </w:rPr>
            </w:pPr>
            <w:r>
              <w:rPr>
                <w:rFonts w:hint="eastAsia" w:ascii="宋体" w:hAnsi="宋体"/>
                <w:b/>
                <w:color w:val="000000" w:themeColor="text1"/>
                <w:sz w:val="21"/>
                <w:szCs w:val="21"/>
              </w:rPr>
              <w:t>过程运行环境</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现场正在生产的是批号20210624的地塞米松磷酸钠注射液，配药车间作业人员在1万级的洁净车间作业，穿无菌防护服，戴工作帽；介绍说车间部分岗位洁净度达到100级，整个车间温湿度恒定；配置好的药液加入注射用蒸馏水，通过管道输送至储存罐；洗瓶用纯化水或者注射用水洗瓶机洗瓶后进行烘干，制备好的洁净瓶子进行灌装后拉丝封口；传送带传送至包装车间进行包装。</w:t>
            </w:r>
          </w:p>
          <w:p>
            <w:pPr>
              <w:adjustRightInd w:val="0"/>
              <w:snapToGrid w:val="0"/>
              <w:spacing w:line="360" w:lineRule="auto"/>
              <w:ind w:right="105" w:rightChars="50" w:firstLine="396" w:firstLineChars="200"/>
              <w:textAlignment w:val="baseline"/>
              <w:rPr>
                <w:rFonts w:ascii="宋体" w:hAnsi="宋体"/>
                <w:b/>
                <w:color w:val="000000" w:themeColor="text1"/>
                <w:sz w:val="21"/>
                <w:szCs w:val="21"/>
              </w:rPr>
            </w:pPr>
            <w:r>
              <w:rPr>
                <w:rFonts w:hint="eastAsia" w:ascii="宋体" w:hAnsi="宋体" w:cs="Arial"/>
                <w:spacing w:val="-6"/>
                <w:sz w:val="21"/>
                <w:szCs w:val="21"/>
                <w:highlight w:val="none"/>
                <w:lang w:val="en-US" w:eastAsia="zh-CN"/>
              </w:rPr>
              <w:t>进入车间有风淋系统和紫外消灭系统；光照充分、通风良好，温湿度进行有效控制。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0" w:type="dxa"/>
            <w:vMerge w:val="continue"/>
            <w:textDirection w:val="tbRlV"/>
            <w:vAlign w:val="center"/>
          </w:tcPr>
          <w:p>
            <w:pPr>
              <w:spacing w:line="360" w:lineRule="auto"/>
              <w:ind w:left="113" w:right="113"/>
              <w:jc w:val="center"/>
              <w:rPr>
                <w:b/>
                <w:color w:val="000000" w:themeColor="text1"/>
                <w:sz w:val="21"/>
                <w:szCs w:val="21"/>
              </w:rPr>
            </w:pPr>
          </w:p>
        </w:tc>
        <w:tc>
          <w:tcPr>
            <w:tcW w:w="9198" w:type="dxa"/>
          </w:tcPr>
          <w:p>
            <w:pPr>
              <w:spacing w:line="360" w:lineRule="auto"/>
              <w:rPr>
                <w:rFonts w:hint="eastAsia" w:ascii="宋体" w:hAnsi="宋体"/>
                <w:b/>
                <w:color w:val="000000" w:themeColor="text1"/>
                <w:sz w:val="21"/>
                <w:szCs w:val="21"/>
              </w:rPr>
            </w:pPr>
            <w:r>
              <w:rPr>
                <w:rFonts w:hint="eastAsia" w:ascii="宋体" w:hAnsi="宋体"/>
                <w:b/>
                <w:color w:val="000000" w:themeColor="text1"/>
                <w:sz w:val="21"/>
                <w:szCs w:val="21"/>
              </w:rPr>
              <w:t>监视和测量资源</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color w:val="auto"/>
                <w:sz w:val="21"/>
                <w:szCs w:val="21"/>
                <w:highlight w:val="none"/>
                <w:lang w:val="zh-CN" w:eastAsia="zh-CN"/>
              </w:rPr>
              <w:t>检测设备：</w:t>
            </w:r>
            <w:r>
              <w:rPr>
                <w:rFonts w:hint="eastAsia"/>
                <w:color w:val="auto"/>
                <w:sz w:val="21"/>
                <w:szCs w:val="21"/>
                <w:highlight w:val="none"/>
                <w:lang w:val="en-US" w:eastAsia="zh-CN"/>
              </w:rPr>
              <w:t>紫外可见分光光度计、玻璃温度计、液相色谱仪、电子天平（十万分之一）、酸度计、电导率仪、自动永停滴定仪、熔点测试仪、水分测定仪、气相色谱仪、激光尘埃粒子计数器、澄</w:t>
            </w:r>
            <w:r>
              <w:rPr>
                <w:rFonts w:hint="eastAsia" w:ascii="Times New Roman" w:hAnsi="Times New Roman" w:cs="Times New Roman"/>
                <w:color w:val="auto"/>
                <w:sz w:val="21"/>
                <w:szCs w:val="21"/>
                <w:highlight w:val="none"/>
                <w:lang w:val="en-US" w:eastAsia="zh-CN"/>
              </w:rPr>
              <w:t>明度检测仪等；</w:t>
            </w:r>
          </w:p>
          <w:p>
            <w:pPr>
              <w:spacing w:line="360" w:lineRule="auto"/>
              <w:ind w:firstLine="420" w:firstLineChars="200"/>
              <w:rPr>
                <w:rFonts w:hint="default" w:ascii="宋体" w:hAnsi="宋体" w:eastAsia="宋体"/>
                <w:b/>
                <w:color w:val="000000" w:themeColor="text1"/>
                <w:sz w:val="21"/>
                <w:szCs w:val="21"/>
                <w:lang w:val="en-US" w:eastAsia="zh-CN"/>
              </w:rPr>
            </w:pPr>
            <w:r>
              <w:rPr>
                <w:rFonts w:hint="eastAsia" w:ascii="Times New Roman" w:hAnsi="Times New Roman" w:cs="Times New Roman"/>
                <w:color w:val="auto"/>
                <w:sz w:val="21"/>
                <w:szCs w:val="21"/>
                <w:highlight w:val="none"/>
                <w:lang w:val="en-US" w:eastAsia="zh-CN"/>
              </w:rPr>
              <w:t>保留鉴定证书或者自校记录。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0" w:type="dxa"/>
            <w:vMerge w:val="continue"/>
            <w:textDirection w:val="tbRlV"/>
            <w:vAlign w:val="center"/>
          </w:tcPr>
          <w:p>
            <w:pPr>
              <w:spacing w:line="360" w:lineRule="auto"/>
              <w:ind w:left="113" w:right="113"/>
              <w:jc w:val="center"/>
              <w:rPr>
                <w:b/>
                <w:color w:val="000000" w:themeColor="text1"/>
                <w:sz w:val="21"/>
                <w:szCs w:val="21"/>
              </w:rPr>
            </w:pPr>
          </w:p>
        </w:tc>
        <w:tc>
          <w:tcPr>
            <w:tcW w:w="9198" w:type="dxa"/>
          </w:tcPr>
          <w:p>
            <w:pPr>
              <w:spacing w:line="360" w:lineRule="auto"/>
              <w:rPr>
                <w:rFonts w:ascii="宋体" w:hAnsi="宋体"/>
                <w:b/>
                <w:color w:val="000000" w:themeColor="text1"/>
                <w:sz w:val="21"/>
                <w:szCs w:val="21"/>
              </w:rPr>
            </w:pPr>
            <w:r>
              <w:rPr>
                <w:rFonts w:hint="eastAsia" w:ascii="宋体" w:hAnsi="宋体"/>
                <w:b/>
                <w:color w:val="000000" w:themeColor="text1"/>
                <w:sz w:val="21"/>
                <w:szCs w:val="21"/>
              </w:rPr>
              <w:t>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公司各部门按照职责从内外部各种渠道获得与其职责相关所需的知识，包括操作规程、管理技巧与经验、失败和事故的案例分析、科研成果、商标等；把知识形成各种规章制度用于指导公司的日常工作和管理，包括体系文件、支持性文件、各种记录表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从内部来源获取的有：多年的工作经验、教训、内部的知识产权等；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外部来源获取有：标杆对比、行业会议、客户技术要求、咨询老师传授的体系知识及所实施的内审员的培训；顾客方提供的资料等。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b/>
                <w:color w:val="000000" w:themeColor="text1"/>
                <w:sz w:val="21"/>
                <w:szCs w:val="21"/>
              </w:rPr>
            </w:pPr>
            <w:r>
              <w:rPr>
                <w:rFonts w:hint="default" w:ascii="Times New Roman" w:hAnsi="Times New Roman" w:cs="Times New Roman" w:eastAsiaTheme="minorEastAsia"/>
                <w:sz w:val="21"/>
                <w:szCs w:val="21"/>
                <w:lang w:val="en-US" w:eastAsia="zh-CN"/>
              </w:rPr>
              <w:t>在应对变化的需求和趋势时，相关部门考虑现有的知识，确定如何获取更多的必要的额外知识，并根据变化的情况及时更新。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20" w:type="dxa"/>
            <w:vMerge w:val="continue"/>
            <w:textDirection w:val="tbRlV"/>
            <w:vAlign w:val="center"/>
          </w:tcPr>
          <w:p>
            <w:pPr>
              <w:spacing w:line="360" w:lineRule="auto"/>
              <w:ind w:left="113" w:right="113"/>
              <w:jc w:val="center"/>
              <w:rPr>
                <w:b/>
                <w:color w:val="000000" w:themeColor="text1"/>
                <w:sz w:val="21"/>
                <w:szCs w:val="21"/>
              </w:rPr>
            </w:pPr>
          </w:p>
        </w:tc>
        <w:tc>
          <w:tcPr>
            <w:tcW w:w="9198" w:type="dxa"/>
          </w:tcPr>
          <w:p>
            <w:pPr>
              <w:spacing w:line="360" w:lineRule="auto"/>
              <w:rPr>
                <w:rFonts w:hint="eastAsia" w:ascii="宋体" w:hAnsi="宋体"/>
                <w:b/>
                <w:color w:val="000000" w:themeColor="text1"/>
                <w:sz w:val="21"/>
                <w:szCs w:val="21"/>
              </w:rPr>
            </w:pPr>
            <w:r>
              <w:rPr>
                <w:rFonts w:hint="eastAsia" w:ascii="宋体" w:hAnsi="宋体"/>
                <w:b/>
                <w:color w:val="000000" w:themeColor="text1"/>
                <w:sz w:val="21"/>
                <w:szCs w:val="21"/>
              </w:rPr>
              <w:t>环保设施：</w:t>
            </w:r>
          </w:p>
          <w:p>
            <w:pPr>
              <w:spacing w:line="360" w:lineRule="auto"/>
              <w:rPr>
                <w:rFonts w:hint="eastAsia" w:ascii="宋体" w:hAnsi="宋体" w:eastAsia="宋体"/>
                <w:b/>
                <w:color w:val="000000" w:themeColor="text1"/>
                <w:sz w:val="21"/>
                <w:szCs w:val="21"/>
                <w:lang w:val="en-US" w:eastAsia="zh-CN"/>
              </w:rPr>
            </w:pPr>
            <w:r>
              <w:rPr>
                <w:rFonts w:hint="eastAsia" w:ascii="宋体" w:hAnsi="宋体"/>
                <w:b/>
                <w:color w:val="000000" w:themeColor="text1"/>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20" w:type="dxa"/>
            <w:vMerge w:val="continue"/>
            <w:textDirection w:val="tbRlV"/>
            <w:vAlign w:val="center"/>
          </w:tcPr>
          <w:p>
            <w:pPr>
              <w:spacing w:line="360" w:lineRule="auto"/>
              <w:ind w:left="113" w:right="113"/>
              <w:jc w:val="center"/>
              <w:rPr>
                <w:b/>
                <w:color w:val="000000" w:themeColor="text1"/>
                <w:sz w:val="21"/>
                <w:szCs w:val="21"/>
              </w:rPr>
            </w:pPr>
          </w:p>
        </w:tc>
        <w:tc>
          <w:tcPr>
            <w:tcW w:w="9198" w:type="dxa"/>
          </w:tcPr>
          <w:p>
            <w:pPr>
              <w:spacing w:line="360" w:lineRule="auto"/>
              <w:rPr>
                <w:rFonts w:hint="eastAsia" w:ascii="宋体" w:hAnsi="宋体"/>
                <w:b/>
                <w:color w:val="000000" w:themeColor="text1"/>
                <w:sz w:val="21"/>
                <w:szCs w:val="21"/>
              </w:rPr>
            </w:pPr>
            <w:r>
              <w:rPr>
                <w:rFonts w:hint="eastAsia" w:ascii="宋体" w:hAnsi="宋体"/>
                <w:b/>
                <w:color w:val="000000" w:themeColor="text1"/>
                <w:sz w:val="21"/>
                <w:szCs w:val="21"/>
              </w:rPr>
              <w:t>职业健康安全设施：</w:t>
            </w:r>
          </w:p>
          <w:p>
            <w:pPr>
              <w:spacing w:line="360" w:lineRule="auto"/>
              <w:rPr>
                <w:rFonts w:hint="eastAsia" w:ascii="宋体" w:hAnsi="宋体" w:eastAsia="宋体"/>
                <w:b/>
                <w:color w:val="000000" w:themeColor="text1"/>
                <w:sz w:val="21"/>
                <w:szCs w:val="21"/>
                <w:lang w:val="en-US" w:eastAsia="zh-CN"/>
              </w:rPr>
            </w:pPr>
            <w:r>
              <w:rPr>
                <w:rFonts w:hint="eastAsia" w:ascii="宋体" w:hAnsi="宋体"/>
                <w:b/>
                <w:color w:val="000000" w:themeColor="text1"/>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720" w:type="dxa"/>
            <w:vMerge w:val="restart"/>
            <w:textDirection w:val="tbRlV"/>
            <w:vAlign w:val="center"/>
          </w:tcPr>
          <w:p>
            <w:pPr>
              <w:spacing w:line="360" w:lineRule="auto"/>
              <w:ind w:left="113" w:right="113"/>
              <w:jc w:val="center"/>
              <w:rPr>
                <w:b/>
                <w:color w:val="000000" w:themeColor="text1"/>
                <w:sz w:val="21"/>
                <w:szCs w:val="21"/>
              </w:rPr>
            </w:pPr>
            <w:r>
              <w:rPr>
                <w:rFonts w:hint="eastAsia"/>
                <w:b/>
                <w:color w:val="000000" w:themeColor="text1"/>
                <w:sz w:val="21"/>
                <w:szCs w:val="21"/>
              </w:rPr>
              <w:t>(三)体系运行情况</w:t>
            </w:r>
          </w:p>
        </w:tc>
        <w:tc>
          <w:tcPr>
            <w:tcW w:w="9198" w:type="dxa"/>
          </w:tcPr>
          <w:p>
            <w:pPr>
              <w:spacing w:line="360" w:lineRule="auto"/>
              <w:rPr>
                <w:b/>
                <w:color w:val="000000" w:themeColor="text1"/>
                <w:sz w:val="21"/>
                <w:szCs w:val="21"/>
              </w:rPr>
            </w:pPr>
            <w:r>
              <w:rPr>
                <w:rFonts w:hint="eastAsia"/>
                <w:b/>
                <w:color w:val="000000" w:themeColor="text1"/>
                <w:sz w:val="21"/>
                <w:szCs w:val="21"/>
              </w:rPr>
              <w:t>1. 针对方针的管理职责评审</w:t>
            </w:r>
          </w:p>
          <w:p>
            <w:pPr>
              <w:spacing w:line="360" w:lineRule="auto"/>
              <w:ind w:left="1"/>
              <w:rPr>
                <w:rFonts w:hint="eastAsia"/>
                <w:b/>
                <w:color w:val="000000" w:themeColor="text1"/>
                <w:sz w:val="21"/>
                <w:szCs w:val="21"/>
              </w:rPr>
            </w:pPr>
            <w:r>
              <w:rPr>
                <w:rFonts w:hint="eastAsia"/>
                <w:b/>
                <w:color w:val="000000" w:themeColor="text1"/>
                <w:sz w:val="21"/>
                <w:szCs w:val="21"/>
              </w:rPr>
              <w:t>（包括针对组织宗旨，制定相关管理方针政策、确保方针为员工理解并在运营中实施，监视方针的实施并评审方针的适宜性）</w:t>
            </w:r>
          </w:p>
          <w:p>
            <w:pPr>
              <w:spacing w:line="360" w:lineRule="auto"/>
              <w:ind w:left="1" w:firstLine="420" w:firstLineChars="200"/>
              <w:rPr>
                <w:rFonts w:hint="eastAsia" w:eastAsia="宋体"/>
                <w:b/>
                <w:color w:val="000000" w:themeColor="text1"/>
                <w:sz w:val="21"/>
                <w:szCs w:val="21"/>
                <w:lang w:val="en-US" w:eastAsia="zh-CN"/>
              </w:rPr>
            </w:pPr>
            <w:r>
              <w:rPr>
                <w:rFonts w:hint="eastAsia" w:ascii="Times New Roman" w:hAnsi="Times New Roman" w:cs="Times New Roman" w:eastAsiaTheme="minorEastAsia"/>
                <w:sz w:val="21"/>
                <w:szCs w:val="21"/>
                <w:lang w:val="en-US" w:eastAsia="zh-CN"/>
              </w:rPr>
              <w:t xml:space="preserve">方针符合组织的宗旨，一体化管理方针形成文件传达到全体员工，确保得到有效控制，使全体员工正确理解并坚决执行，且应定期对其适宜性进行评审。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tcPr>
          <w:p>
            <w:pPr>
              <w:spacing w:line="360" w:lineRule="auto"/>
              <w:ind w:left="159" w:hanging="167" w:hangingChars="79"/>
              <w:rPr>
                <w:b/>
                <w:color w:val="000000" w:themeColor="text1"/>
                <w:sz w:val="21"/>
                <w:szCs w:val="21"/>
              </w:rPr>
            </w:pPr>
            <w:r>
              <w:rPr>
                <w:rFonts w:hint="eastAsia"/>
                <w:b/>
                <w:color w:val="000000" w:themeColor="text1"/>
                <w:sz w:val="21"/>
                <w:szCs w:val="21"/>
              </w:rPr>
              <w:t>2. 组织内部沟通的充分性与效果；（OHSMS员工参与风险管理/健康安全事务的关心和影响力；组织对外联络关注顾客的感受情况、</w:t>
            </w:r>
            <w:r>
              <w:rPr>
                <w:b/>
                <w:color w:val="000000" w:themeColor="text1"/>
                <w:sz w:val="21"/>
                <w:szCs w:val="21"/>
              </w:rPr>
              <w:t>信息交流</w:t>
            </w:r>
            <w:r>
              <w:rPr>
                <w:rFonts w:hint="eastAsia"/>
                <w:b/>
                <w:color w:val="000000" w:themeColor="text1"/>
                <w:sz w:val="21"/>
                <w:szCs w:val="21"/>
              </w:rPr>
              <w:t>包括通报相关方的情况等）</w:t>
            </w:r>
          </w:p>
          <w:p>
            <w:pPr>
              <w:spacing w:line="360" w:lineRule="auto"/>
              <w:rPr>
                <w:rFonts w:ascii="楷体_GB2312" w:eastAsia="楷体_GB2312"/>
                <w:b/>
                <w:color w:val="000000" w:themeColor="text1"/>
                <w:sz w:val="21"/>
                <w:szCs w:val="21"/>
              </w:rPr>
            </w:pPr>
            <w:r>
              <w:rPr>
                <w:rFonts w:hint="eastAsia" w:ascii="楷体_GB2312" w:eastAsia="楷体_GB2312"/>
                <w:b/>
                <w:color w:val="000000" w:themeColor="text1"/>
                <w:sz w:val="21"/>
                <w:szCs w:val="21"/>
              </w:rPr>
              <w:t>内部沟通的情况：内部沟通方式：借助于会议、电话、口头交流等方式使全体员工达到沟通和理解</w:t>
            </w:r>
          </w:p>
          <w:p>
            <w:pPr>
              <w:spacing w:line="360" w:lineRule="auto"/>
              <w:rPr>
                <w:rFonts w:hint="eastAsia" w:ascii="楷体_GB2312" w:eastAsia="楷体_GB2312"/>
                <w:b/>
                <w:color w:val="000000" w:themeColor="text1"/>
                <w:sz w:val="21"/>
                <w:szCs w:val="21"/>
                <w:lang w:val="en-US" w:eastAsia="zh-CN"/>
              </w:rPr>
            </w:pPr>
            <w:r>
              <w:rPr>
                <w:rFonts w:hint="eastAsia" w:ascii="楷体_GB2312" w:eastAsia="楷体_GB2312"/>
                <w:b/>
                <w:color w:val="000000" w:themeColor="text1"/>
                <w:sz w:val="21"/>
                <w:szCs w:val="21"/>
              </w:rPr>
              <w:t xml:space="preserve">                内部沟通的效果：</w:t>
            </w:r>
            <w:r>
              <w:rPr>
                <w:rFonts w:hint="eastAsia" w:ascii="楷体_GB2312" w:eastAsia="楷体_GB2312"/>
                <w:b/>
                <w:color w:val="000000" w:themeColor="text1"/>
                <w:sz w:val="21"/>
                <w:szCs w:val="21"/>
                <w:lang w:val="en-US" w:eastAsia="zh-CN"/>
              </w:rPr>
              <w:t>有效</w:t>
            </w:r>
          </w:p>
          <w:p>
            <w:pPr>
              <w:spacing w:line="360" w:lineRule="auto"/>
              <w:rPr>
                <w:rFonts w:ascii="楷体_GB2312" w:eastAsia="楷体_GB2312"/>
                <w:b/>
                <w:color w:val="000000" w:themeColor="text1"/>
                <w:sz w:val="21"/>
                <w:szCs w:val="21"/>
              </w:rPr>
            </w:pPr>
            <w:r>
              <w:rPr>
                <w:rFonts w:hint="eastAsia" w:ascii="楷体_GB2312" w:eastAsia="楷体_GB2312"/>
                <w:b/>
                <w:color w:val="000000" w:themeColor="text1"/>
                <w:sz w:val="21"/>
                <w:szCs w:val="21"/>
              </w:rPr>
              <w:t>组织对外联络，关注顾客的感受情况（QMS）：顾客满意度评价、合同等</w:t>
            </w:r>
          </w:p>
          <w:p>
            <w:pPr>
              <w:spacing w:line="360" w:lineRule="auto"/>
              <w:rPr>
                <w:rFonts w:ascii="楷体_GB2312" w:eastAsia="楷体_GB2312"/>
                <w:b/>
                <w:color w:val="000000" w:themeColor="text1"/>
                <w:sz w:val="21"/>
                <w:szCs w:val="21"/>
              </w:rPr>
            </w:pPr>
            <w:r>
              <w:rPr>
                <w:rFonts w:hint="eastAsia" w:ascii="楷体_GB2312" w:eastAsia="楷体_GB2312"/>
                <w:b/>
                <w:color w:val="000000" w:themeColor="text1"/>
                <w:sz w:val="21"/>
                <w:szCs w:val="21"/>
              </w:rPr>
              <w:t>外部信息的接收、成文并答复的情况（E、S填写）：</w:t>
            </w:r>
          </w:p>
          <w:p>
            <w:pPr>
              <w:spacing w:line="360" w:lineRule="auto"/>
              <w:rPr>
                <w:rFonts w:ascii="楷体_GB2312" w:eastAsia="楷体_GB2312"/>
                <w:b/>
                <w:color w:val="000000" w:themeColor="text1"/>
                <w:sz w:val="21"/>
                <w:szCs w:val="21"/>
              </w:rPr>
            </w:pPr>
            <w:r>
              <w:rPr>
                <w:rFonts w:hint="eastAsia" w:ascii="楷体_GB2312" w:eastAsia="楷体_GB2312"/>
                <w:b/>
                <w:color w:val="000000" w:themeColor="text1"/>
                <w:sz w:val="21"/>
                <w:szCs w:val="21"/>
              </w:rPr>
              <w:t>重要环境因素信息对外交流情况（EMS填写）：</w:t>
            </w:r>
          </w:p>
          <w:p>
            <w:pPr>
              <w:spacing w:line="360" w:lineRule="auto"/>
              <w:rPr>
                <w:rFonts w:ascii="楷体_GB2312" w:eastAsia="楷体_GB2312"/>
                <w:b/>
                <w:color w:val="000000" w:themeColor="text1"/>
                <w:sz w:val="21"/>
                <w:szCs w:val="21"/>
              </w:rPr>
            </w:pPr>
            <w:r>
              <w:rPr>
                <w:rFonts w:hint="eastAsia" w:ascii="楷体_GB2312" w:eastAsia="楷体_GB2312"/>
                <w:b/>
                <w:color w:val="000000" w:themeColor="text1"/>
                <w:sz w:val="21"/>
                <w:szCs w:val="21"/>
              </w:rPr>
              <w:t>OHSMS事务代表协商和交流的情况（OHSMS填写）：</w:t>
            </w:r>
          </w:p>
          <w:p>
            <w:pPr>
              <w:spacing w:line="360" w:lineRule="auto"/>
              <w:rPr>
                <w:rFonts w:ascii="楷体_GB2312" w:eastAsia="楷体_GB2312"/>
                <w:b/>
                <w:color w:val="000000" w:themeColor="text1"/>
                <w:sz w:val="21"/>
                <w:szCs w:val="21"/>
              </w:rPr>
            </w:pPr>
            <w:r>
              <w:rPr>
                <w:rFonts w:hint="eastAsia" w:ascii="楷体_GB2312" w:eastAsia="楷体_GB2312"/>
                <w:b/>
                <w:color w:val="000000" w:themeColor="text1"/>
                <w:sz w:val="2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tcPr>
          <w:p>
            <w:pPr>
              <w:spacing w:line="360" w:lineRule="auto"/>
              <w:rPr>
                <w:b/>
                <w:color w:val="000000" w:themeColor="text1"/>
                <w:sz w:val="21"/>
                <w:szCs w:val="21"/>
              </w:rPr>
            </w:pPr>
            <w:r>
              <w:rPr>
                <w:rFonts w:hint="eastAsia"/>
                <w:b/>
                <w:color w:val="000000" w:themeColor="text1"/>
                <w:sz w:val="21"/>
                <w:szCs w:val="21"/>
              </w:rPr>
              <w:t>3.  QMS 组织对重要过程实施控制的结果</w:t>
            </w:r>
          </w:p>
          <w:p>
            <w:pPr>
              <w:spacing w:line="360" w:lineRule="auto"/>
              <w:ind w:left="193" w:leftChars="42" w:hanging="105" w:hangingChars="50"/>
              <w:rPr>
                <w:b/>
                <w:color w:val="000000" w:themeColor="text1"/>
                <w:sz w:val="21"/>
                <w:szCs w:val="21"/>
              </w:rPr>
            </w:pPr>
            <w:r>
              <w:rPr>
                <w:rFonts w:hint="eastAsia"/>
                <w:b/>
                <w:color w:val="000000" w:themeColor="text1"/>
                <w:sz w:val="21"/>
                <w:szCs w:val="21"/>
              </w:rPr>
              <w:t>(包括对QMS关键工序(过程)、特殊过程控制;评价组织对过程实施控制情况/)</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策划了产品生产工艺/服务提供流程：</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水剂：制水/备瓶/配药——检验/化验——罐装——检验/化验——封装/包装 </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粉剂：原材料——破碎——过筛——混合——检验——分装——检验——包装</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关键过程为：水剂——</w:t>
            </w:r>
            <w:r>
              <w:rPr>
                <w:rFonts w:hint="default" w:ascii="宋体" w:hAnsi="宋体" w:eastAsia="宋体" w:cs="宋体"/>
                <w:sz w:val="21"/>
                <w:szCs w:val="21"/>
                <w:lang w:val="en-US" w:eastAsia="zh-CN"/>
              </w:rPr>
              <w:t>配药</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粉剂</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破碎</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通过材料检验、服务过程检验、竣工/成品检验等过程对产品质量等进行监控。</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公司按照制定的程序、规程、管理制度等文件对设计开发过程、系统集成过程、采购过程、销售过程、检验与交付过程、绩效分析、评价与改进等过程实施了过程控制。</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b/>
                <w:color w:val="000000" w:themeColor="text1"/>
                <w:sz w:val="21"/>
                <w:szCs w:val="21"/>
              </w:rPr>
            </w:pPr>
            <w:r>
              <w:rPr>
                <w:rFonts w:hint="eastAsia" w:ascii="宋体" w:hAnsi="宋体" w:eastAsia="宋体" w:cs="宋体"/>
                <w:sz w:val="21"/>
                <w:szCs w:val="21"/>
                <w:lang w:val="en-US" w:eastAsia="zh-CN"/>
              </w:rPr>
              <w:t>效果明显，未发生质量纠纷。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tcPr>
          <w:p>
            <w:pPr>
              <w:spacing w:line="360" w:lineRule="auto"/>
              <w:jc w:val="left"/>
              <w:rPr>
                <w:b/>
                <w:color w:val="000000" w:themeColor="text1"/>
                <w:sz w:val="21"/>
                <w:szCs w:val="21"/>
              </w:rPr>
            </w:pPr>
            <w:r>
              <w:rPr>
                <w:rFonts w:hint="eastAsia"/>
                <w:b/>
                <w:color w:val="000000" w:themeColor="text1"/>
                <w:sz w:val="21"/>
                <w:szCs w:val="21"/>
              </w:rPr>
              <w:t>4.QMS产品/服务的标准、协议/规范的有效性以及产品/服务质量符合要求，向顾客稳定提供合格产品的情况；</w:t>
            </w:r>
          </w:p>
          <w:p>
            <w:pPr>
              <w:adjustRightInd w:val="0"/>
              <w:snapToGrid w:val="0"/>
              <w:spacing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default" w:ascii="宋体" w:hAnsi="宋体" w:cs="Arial"/>
                <w:spacing w:val="-6"/>
                <w:sz w:val="21"/>
                <w:szCs w:val="21"/>
                <w:highlight w:val="none"/>
                <w:lang w:val="en-US" w:eastAsia="zh-CN"/>
              </w:rPr>
              <w:t>接收准则：中华人民共和国兽药典</w:t>
            </w:r>
            <w:r>
              <w:rPr>
                <w:rFonts w:hint="eastAsia" w:ascii="宋体" w:hAnsi="宋体" w:cs="Arial"/>
                <w:spacing w:val="-6"/>
                <w:sz w:val="21"/>
                <w:szCs w:val="21"/>
                <w:highlight w:val="none"/>
                <w:lang w:val="en-US" w:eastAsia="zh-CN"/>
              </w:rPr>
              <w:t>；</w:t>
            </w:r>
          </w:p>
          <w:p>
            <w:pPr>
              <w:spacing w:line="360" w:lineRule="auto"/>
              <w:rPr>
                <w:b/>
                <w:color w:val="000000" w:themeColor="text1"/>
                <w:sz w:val="21"/>
                <w:szCs w:val="21"/>
              </w:rPr>
            </w:pPr>
            <w:r>
              <w:rPr>
                <w:rFonts w:hint="eastAsia"/>
                <w:b/>
                <w:color w:val="000000" w:themeColor="text1"/>
                <w:sz w:val="21"/>
                <w:szCs w:val="21"/>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tcPr>
          <w:p>
            <w:pPr>
              <w:spacing w:line="360" w:lineRule="auto"/>
              <w:rPr>
                <w:b/>
                <w:color w:val="000000" w:themeColor="text1"/>
                <w:sz w:val="21"/>
                <w:szCs w:val="21"/>
              </w:rPr>
            </w:pPr>
            <w:r>
              <w:rPr>
                <w:rFonts w:hint="eastAsia"/>
                <w:b/>
                <w:color w:val="000000" w:themeColor="text1"/>
                <w:sz w:val="21"/>
                <w:szCs w:val="21"/>
              </w:rPr>
              <w:t>5 .QMS国家/地方技术监督部门监测（检测、委托检测、定期监测、型式试验等）、抽查结果</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外部检测，抽见检验报告：</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盐酸多西环素可溶性粉——检验结论：符合要求；江西省兽药饲料监察所出具，2017.8.29；</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安痛定注射液——检验结论：符合要求；江西省兽药饲料监察所出具，2017.12.28；</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安乃近注射液——检验结论：符合规定；江西省兽药饲料监察所出具，2017.8.29；</w:t>
            </w:r>
          </w:p>
          <w:p>
            <w:pPr>
              <w:adjustRightInd w:val="0"/>
              <w:snapToGrid w:val="0"/>
              <w:spacing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氨茶碱注射液——检验结论：符合规定；江西省兽药饲料监察所出具，2020.12.15；</w:t>
            </w:r>
          </w:p>
          <w:p>
            <w:pPr>
              <w:adjustRightInd w:val="0"/>
              <w:snapToGrid w:val="0"/>
              <w:spacing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介绍说，兽药产品批准文号有效期为5年，文号复审时进行检验，平时没有检验要求。</w:t>
            </w:r>
          </w:p>
          <w:p>
            <w:pPr>
              <w:spacing w:line="360" w:lineRule="auto"/>
              <w:ind w:firstLine="207" w:firstLineChars="98"/>
              <w:rPr>
                <w:b/>
                <w:color w:val="000000" w:themeColor="text1"/>
                <w:sz w:val="21"/>
                <w:szCs w:val="21"/>
              </w:rPr>
            </w:pPr>
            <w:r>
              <w:rPr>
                <w:rFonts w:hint="eastAsia"/>
                <w:b/>
                <w:color w:val="000000" w:themeColor="text1"/>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tcPr>
          <w:p>
            <w:pPr>
              <w:spacing w:line="360" w:lineRule="auto"/>
              <w:rPr>
                <w:b/>
                <w:color w:val="000000" w:themeColor="text1"/>
                <w:spacing w:val="-8"/>
                <w:sz w:val="21"/>
                <w:szCs w:val="21"/>
              </w:rPr>
            </w:pPr>
            <w:r>
              <w:rPr>
                <w:rFonts w:hint="eastAsia"/>
                <w:b/>
                <w:color w:val="000000" w:themeColor="text1"/>
                <w:sz w:val="21"/>
                <w:szCs w:val="21"/>
              </w:rPr>
              <w:t xml:space="preserve">6. </w:t>
            </w:r>
            <w:r>
              <w:rPr>
                <w:rFonts w:hint="eastAsia"/>
                <w:b/>
                <w:color w:val="000000" w:themeColor="text1"/>
                <w:spacing w:val="-8"/>
                <w:sz w:val="21"/>
                <w:szCs w:val="21"/>
              </w:rPr>
              <w:t>不合格品/项的识别、控制;</w:t>
            </w:r>
          </w:p>
          <w:p>
            <w:pPr>
              <w:pStyle w:val="2"/>
              <w:spacing w:line="360" w:lineRule="auto"/>
              <w:ind w:firstLine="420" w:firstLineChars="200"/>
              <w:rPr>
                <w:b/>
                <w:color w:val="000000" w:themeColor="text1"/>
                <w:sz w:val="21"/>
                <w:szCs w:val="21"/>
              </w:rPr>
            </w:pPr>
            <w:r>
              <w:rPr>
                <w:rFonts w:hint="eastAsia" w:cs="Times New Roman"/>
                <w:sz w:val="21"/>
                <w:szCs w:val="21"/>
                <w:lang w:val="en-US" w:eastAsia="zh-CN"/>
              </w:rPr>
              <w:t>水剂产品不合格全部报废处理。粉剂产品进行返工处理。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tcPr>
          <w:p>
            <w:pPr>
              <w:spacing w:line="360" w:lineRule="auto"/>
              <w:rPr>
                <w:b/>
                <w:color w:val="000000" w:themeColor="text1"/>
                <w:sz w:val="21"/>
                <w:szCs w:val="21"/>
              </w:rPr>
            </w:pPr>
            <w:r>
              <w:rPr>
                <w:rFonts w:hint="eastAsia"/>
                <w:b/>
                <w:color w:val="000000" w:themeColor="text1"/>
                <w:sz w:val="21"/>
                <w:szCs w:val="21"/>
              </w:rPr>
              <w:t>7. EMS组织对重要环境因素实施控制的结果</w:t>
            </w:r>
          </w:p>
          <w:p>
            <w:pPr>
              <w:spacing w:line="360" w:lineRule="auto"/>
              <w:rPr>
                <w:b/>
                <w:color w:val="000000" w:themeColor="text1"/>
                <w:sz w:val="21"/>
                <w:szCs w:val="21"/>
              </w:rPr>
            </w:pPr>
            <w:r>
              <w:rPr>
                <w:rFonts w:hint="eastAsia"/>
                <w:b/>
                <w:color w:val="000000" w:themeColor="text1"/>
                <w:sz w:val="21"/>
                <w:szCs w:val="21"/>
              </w:rPr>
              <w:t>（EMS对重要环境因素控制，重大环境因素对周边环境产生的影响及控制;对相关方施加影响）</w:t>
            </w:r>
          </w:p>
          <w:p>
            <w:pPr>
              <w:spacing w:line="360" w:lineRule="auto"/>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tcPr>
          <w:p>
            <w:pPr>
              <w:spacing w:line="360" w:lineRule="auto"/>
              <w:rPr>
                <w:rFonts w:hint="eastAsia"/>
                <w:b/>
                <w:color w:val="000000" w:themeColor="text1"/>
                <w:sz w:val="21"/>
                <w:szCs w:val="21"/>
              </w:rPr>
            </w:pPr>
            <w:r>
              <w:rPr>
                <w:rFonts w:hint="eastAsia"/>
                <w:b/>
                <w:color w:val="000000" w:themeColor="text1"/>
                <w:sz w:val="21"/>
                <w:szCs w:val="21"/>
              </w:rPr>
              <w:t>8. OHSMS组织对不可接受风险实施控制的结果</w:t>
            </w:r>
          </w:p>
          <w:p>
            <w:pPr>
              <w:spacing w:line="360" w:lineRule="auto"/>
              <w:rPr>
                <w:rFonts w:hint="eastAsia" w:eastAsia="宋体"/>
                <w:b/>
                <w:color w:val="000000" w:themeColor="text1"/>
                <w:sz w:val="21"/>
                <w:szCs w:val="21"/>
                <w:lang w:val="en-US" w:eastAsia="zh-CN"/>
              </w:rPr>
            </w:pPr>
            <w:r>
              <w:rPr>
                <w:rFonts w:hint="eastAsia"/>
                <w:b/>
                <w:color w:val="000000" w:themeColor="text1"/>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tcPr>
          <w:p>
            <w:pPr>
              <w:spacing w:line="360" w:lineRule="auto"/>
              <w:ind w:left="20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360" w:lineRule="auto"/>
              <w:rPr>
                <w:rFonts w:hint="eastAsia" w:eastAsia="宋体"/>
                <w:b/>
                <w:color w:val="000000" w:themeColor="text1"/>
                <w:spacing w:val="-4"/>
                <w:sz w:val="21"/>
                <w:szCs w:val="21"/>
                <w:lang w:val="en-US" w:eastAsia="zh-CN"/>
              </w:rPr>
            </w:pPr>
            <w:r>
              <w:rPr>
                <w:rFonts w:hint="eastAsia"/>
                <w:b/>
                <w:color w:val="000000" w:themeColor="text1"/>
                <w:spacing w:val="-4"/>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tcPr>
          <w:p>
            <w:pPr>
              <w:spacing w:line="360" w:lineRule="auto"/>
              <w:rPr>
                <w:b/>
                <w:color w:val="000000" w:themeColor="text1"/>
                <w:sz w:val="21"/>
                <w:szCs w:val="21"/>
              </w:rPr>
            </w:pPr>
            <w:r>
              <w:rPr>
                <w:rFonts w:hint="eastAsia"/>
                <w:b/>
                <w:color w:val="000000" w:themeColor="text1"/>
                <w:sz w:val="21"/>
                <w:szCs w:val="21"/>
              </w:rPr>
              <w:t xml:space="preserve">10. 对特种设备的维护，检定; </w:t>
            </w:r>
          </w:p>
          <w:p>
            <w:pPr>
              <w:adjustRightInd w:val="0"/>
              <w:snapToGrid w:val="0"/>
              <w:spacing w:line="360" w:lineRule="auto"/>
              <w:ind w:right="105" w:rightChars="50" w:firstLine="420" w:firstLineChars="200"/>
              <w:textAlignment w:val="baseline"/>
              <w:rPr>
                <w:rFonts w:hint="eastAsia"/>
                <w:sz w:val="21"/>
                <w:szCs w:val="21"/>
                <w:lang w:val="en-US" w:eastAsia="zh-CN"/>
              </w:rPr>
            </w:pPr>
            <w:r>
              <w:rPr>
                <w:rFonts w:hint="eastAsia"/>
                <w:sz w:val="21"/>
                <w:szCs w:val="21"/>
                <w:lang w:val="en-US" w:eastAsia="zh-CN"/>
              </w:rPr>
              <w:t>特种设备管理，有叉车2台、承压蒸汽锅炉1台、电梯3部；查见定期检验报告及使用登记证。</w:t>
            </w:r>
          </w:p>
          <w:p>
            <w:pPr>
              <w:adjustRightInd w:val="0"/>
              <w:snapToGrid w:val="0"/>
              <w:spacing w:line="360" w:lineRule="auto"/>
              <w:ind w:right="105" w:rightChars="50" w:firstLine="420" w:firstLineChars="200"/>
              <w:textAlignment w:val="baseline"/>
              <w:rPr>
                <w:rFonts w:hint="default"/>
                <w:sz w:val="21"/>
                <w:szCs w:val="21"/>
                <w:lang w:val="en-US" w:eastAsia="zh-CN"/>
              </w:rPr>
            </w:pPr>
            <w:r>
              <w:rPr>
                <w:rFonts w:hint="eastAsia"/>
                <w:sz w:val="21"/>
                <w:szCs w:val="21"/>
                <w:lang w:val="en-US" w:eastAsia="zh-CN"/>
              </w:rPr>
              <w:t>1、锅炉—工业锅炉内部检验报告-使用证号：锅10赣G0019（16），检验结论符合要求；2022年11月25日；江西省锅炉压力容器检验检测研究院出具；</w:t>
            </w:r>
          </w:p>
          <w:p>
            <w:pPr>
              <w:adjustRightInd w:val="0"/>
              <w:snapToGrid w:val="0"/>
              <w:spacing w:line="360" w:lineRule="auto"/>
              <w:ind w:right="105" w:rightChars="50" w:firstLine="420" w:firstLineChars="200"/>
              <w:textAlignment w:val="baseline"/>
              <w:rPr>
                <w:rFonts w:hint="default"/>
                <w:sz w:val="21"/>
                <w:szCs w:val="21"/>
                <w:lang w:val="en-US" w:eastAsia="zh-CN"/>
              </w:rPr>
            </w:pPr>
            <w:r>
              <w:rPr>
                <w:rFonts w:hint="eastAsia"/>
                <w:sz w:val="21"/>
                <w:szCs w:val="21"/>
                <w:lang w:val="en-US" w:eastAsia="zh-CN"/>
              </w:rPr>
              <w:t>2、安全阀校验报告—7份，有效期至2021年11月23日，校验结果合格；九江昌润特种设备检验检测有限公司出具；</w:t>
            </w:r>
          </w:p>
          <w:p>
            <w:pPr>
              <w:adjustRightInd w:val="0"/>
              <w:snapToGrid w:val="0"/>
              <w:spacing w:line="360" w:lineRule="auto"/>
              <w:ind w:right="105" w:rightChars="50" w:firstLine="420" w:firstLineChars="200"/>
              <w:textAlignment w:val="baseline"/>
              <w:rPr>
                <w:rFonts w:hint="eastAsia"/>
                <w:sz w:val="21"/>
                <w:szCs w:val="21"/>
                <w:lang w:val="en-US" w:eastAsia="zh-CN"/>
              </w:rPr>
            </w:pPr>
            <w:r>
              <w:rPr>
                <w:rFonts w:hint="eastAsia"/>
                <w:sz w:val="21"/>
                <w:szCs w:val="21"/>
                <w:lang w:val="en-US" w:eastAsia="zh-CN"/>
              </w:rPr>
              <w:t>3、压力表检定证书—4份，有效期至2021年12月21日，检定结论合格；九江市柴桑区标准计量所出具；</w:t>
            </w:r>
          </w:p>
          <w:p>
            <w:pPr>
              <w:adjustRightInd w:val="0"/>
              <w:snapToGrid w:val="0"/>
              <w:spacing w:line="360" w:lineRule="auto"/>
              <w:ind w:right="105" w:rightChars="50" w:firstLine="420" w:firstLineChars="200"/>
              <w:textAlignment w:val="baseline"/>
              <w:rPr>
                <w:rFonts w:hint="eastAsia"/>
                <w:sz w:val="21"/>
                <w:szCs w:val="21"/>
                <w:lang w:val="en-US" w:eastAsia="zh-CN"/>
              </w:rPr>
            </w:pPr>
            <w:r>
              <w:rPr>
                <w:rFonts w:hint="eastAsia"/>
                <w:sz w:val="21"/>
                <w:szCs w:val="21"/>
                <w:lang w:val="en-US" w:eastAsia="zh-CN"/>
              </w:rPr>
              <w:t>4、场内专用机动车辆定期检验报告—2份，有效期2022年1月，江西省特种设备检验检测研究院出具；</w:t>
            </w:r>
          </w:p>
          <w:p>
            <w:pPr>
              <w:adjustRightInd w:val="0"/>
              <w:snapToGrid w:val="0"/>
              <w:spacing w:line="360" w:lineRule="auto"/>
              <w:ind w:right="105" w:rightChars="50" w:firstLine="396" w:firstLineChars="200"/>
              <w:textAlignment w:val="baseline"/>
              <w:rPr>
                <w:rFonts w:hint="eastAsia" w:ascii="Times New Roman" w:hAnsi="Times New Roman" w:cs="Times New Roman"/>
                <w:sz w:val="21"/>
                <w:szCs w:val="21"/>
                <w:lang w:val="en-US" w:eastAsia="zh-CN"/>
              </w:rPr>
            </w:pPr>
            <w:r>
              <w:rPr>
                <w:rFonts w:hint="eastAsia" w:ascii="宋体" w:hAnsi="宋体" w:cs="Arial"/>
                <w:color w:val="auto"/>
                <w:spacing w:val="-6"/>
                <w:sz w:val="21"/>
                <w:szCs w:val="21"/>
                <w:highlight w:val="none"/>
                <w:lang w:val="en-US" w:eastAsia="zh-CN"/>
              </w:rPr>
              <w:t>5</w:t>
            </w:r>
            <w:r>
              <w:rPr>
                <w:rFonts w:hint="eastAsia" w:ascii="Times New Roman" w:hAnsi="Times New Roman" w:cs="Times New Roman"/>
                <w:sz w:val="21"/>
                <w:szCs w:val="21"/>
                <w:lang w:val="en-US" w:eastAsia="zh-CN"/>
              </w:rPr>
              <w:t>、有机房曳引驱动电梯定期检验报告（电梯）——江西省特种设备检验检测研究院九江分院出具：</w:t>
            </w:r>
          </w:p>
          <w:p>
            <w:pPr>
              <w:adjustRightInd w:val="0"/>
              <w:snapToGrid w:val="0"/>
              <w:spacing w:line="360" w:lineRule="auto"/>
              <w:ind w:right="105" w:rightChars="50" w:firstLine="420" w:firstLineChars="200"/>
              <w:textAlignment w:val="baseline"/>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梯12赣G00550，检验结论合格，有效期至2021.11；</w:t>
            </w:r>
          </w:p>
          <w:p>
            <w:pPr>
              <w:adjustRightInd w:val="0"/>
              <w:snapToGrid w:val="0"/>
              <w:spacing w:line="360" w:lineRule="auto"/>
              <w:ind w:right="105" w:rightChars="50" w:firstLine="420" w:firstLineChars="200"/>
              <w:textAlignment w:val="baseline"/>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梯12赣G00559，检验结论合格，有效期至2021.12；</w:t>
            </w:r>
          </w:p>
          <w:p>
            <w:pPr>
              <w:adjustRightInd w:val="0"/>
              <w:snapToGrid w:val="0"/>
              <w:spacing w:line="360" w:lineRule="auto"/>
              <w:ind w:right="105" w:rightChars="50" w:firstLine="420" w:firstLineChars="200"/>
              <w:textAlignment w:val="baseline"/>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梯12赣G00031，检验结论合格，有效期至2022.01</w:t>
            </w:r>
          </w:p>
          <w:p>
            <w:pPr>
              <w:adjustRightInd w:val="0"/>
              <w:snapToGrid w:val="0"/>
              <w:spacing w:line="360" w:lineRule="auto"/>
              <w:ind w:right="105" w:rightChars="50" w:firstLine="420" w:firstLineChars="200"/>
              <w:textAlignment w:val="baseline"/>
              <w:rPr>
                <w:b/>
                <w:color w:val="000000" w:themeColor="text1"/>
                <w:sz w:val="21"/>
                <w:szCs w:val="21"/>
              </w:rPr>
            </w:pPr>
            <w:r>
              <w:rPr>
                <w:rFonts w:hint="eastAsia" w:ascii="Times New Roman" w:hAnsi="Times New Roman" w:cs="Times New Roman"/>
                <w:sz w:val="21"/>
                <w:szCs w:val="21"/>
                <w:lang w:val="en-US" w:eastAsia="zh-CN"/>
              </w:rPr>
              <w:t>另查见上述特种设备月度自检记录，符合要求。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tcPr>
          <w:p>
            <w:pPr>
              <w:spacing w:line="360" w:lineRule="auto"/>
              <w:rPr>
                <w:rFonts w:hint="eastAsia"/>
                <w:b/>
                <w:color w:val="000000" w:themeColor="text1"/>
                <w:sz w:val="21"/>
                <w:szCs w:val="21"/>
              </w:rPr>
            </w:pPr>
            <w:r>
              <w:rPr>
                <w:rFonts w:hint="eastAsia"/>
                <w:b/>
                <w:color w:val="000000" w:themeColor="text1"/>
                <w:sz w:val="21"/>
                <w:szCs w:val="21"/>
              </w:rPr>
              <w:t>11 .对危险化学品销售、使用、储存、运输处置，规定的执行力度(必要时);</w:t>
            </w:r>
          </w:p>
          <w:p>
            <w:pPr>
              <w:spacing w:line="360" w:lineRule="auto"/>
              <w:rPr>
                <w:rFonts w:hint="eastAsia" w:eastAsia="宋体"/>
                <w:b/>
                <w:color w:val="000000" w:themeColor="text1"/>
                <w:sz w:val="21"/>
                <w:szCs w:val="21"/>
                <w:lang w:val="en-US" w:eastAsia="zh-CN"/>
              </w:rPr>
            </w:pPr>
            <w:r>
              <w:rPr>
                <w:rFonts w:hint="eastAsia"/>
                <w:b/>
                <w:color w:val="000000" w:themeColor="text1"/>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720" w:type="dxa"/>
            <w:vMerge w:val="restart"/>
            <w:textDirection w:val="tbRlV"/>
            <w:vAlign w:val="center"/>
          </w:tcPr>
          <w:p>
            <w:pPr>
              <w:spacing w:line="360" w:lineRule="auto"/>
              <w:ind w:left="113" w:right="113"/>
              <w:jc w:val="center"/>
              <w:rPr>
                <w:b/>
                <w:color w:val="000000" w:themeColor="text1"/>
                <w:sz w:val="21"/>
                <w:szCs w:val="21"/>
              </w:rPr>
            </w:pPr>
            <w:r>
              <w:rPr>
                <w:rFonts w:hint="eastAsia"/>
                <w:b/>
                <w:color w:val="000000" w:themeColor="text1"/>
                <w:sz w:val="21"/>
                <w:szCs w:val="21"/>
              </w:rPr>
              <w:t>(四)监视测量方面</w:t>
            </w:r>
          </w:p>
        </w:tc>
        <w:tc>
          <w:tcPr>
            <w:tcW w:w="9198" w:type="dxa"/>
          </w:tcPr>
          <w:p>
            <w:pPr>
              <w:spacing w:line="360" w:lineRule="auto"/>
              <w:ind w:left="100" w:hanging="105" w:hangingChars="50"/>
              <w:rPr>
                <w:b/>
                <w:color w:val="000000" w:themeColor="text1"/>
                <w:sz w:val="21"/>
                <w:szCs w:val="21"/>
              </w:rPr>
            </w:pPr>
            <w:r>
              <w:rPr>
                <w:rFonts w:hint="eastAsia"/>
                <w:b/>
                <w:color w:val="000000" w:themeColor="text1"/>
                <w:sz w:val="21"/>
                <w:szCs w:val="21"/>
              </w:rPr>
              <w:t>1. .对质量/环境/职业健康安全目标指标进行定期监测/检查情况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查到《质量目标分解考核表》，记录了公司质量目标完成情况，2021年6月15日完成情况：目标均已完成，</w:t>
            </w:r>
            <w:r>
              <w:rPr>
                <w:rFonts w:hint="default" w:ascii="Times New Roman" w:hAnsi="Times New Roman" w:cs="Times New Roman" w:eastAsiaTheme="minorEastAsia"/>
                <w:sz w:val="21"/>
                <w:szCs w:val="21"/>
                <w:lang w:val="en-US" w:eastAsia="zh-CN"/>
              </w:rPr>
              <w:t>半年一次对目标完成情况进行考核</w:t>
            </w:r>
            <w:r>
              <w:rPr>
                <w:rFonts w:hint="eastAsia" w:ascii="Times New Roman" w:hAnsi="Times New Roman" w:cs="Times New Roman" w:eastAsiaTheme="minorEastAsia"/>
                <w:sz w:val="21"/>
                <w:szCs w:val="21"/>
                <w:lang w:val="en-US" w:eastAsia="zh-CN"/>
              </w:rPr>
              <w:t>。</w:t>
            </w:r>
          </w:p>
          <w:p>
            <w:pPr>
              <w:bidi w:val="0"/>
              <w:spacing w:line="360" w:lineRule="auto"/>
              <w:rPr>
                <w:rFonts w:hint="default"/>
                <w:sz w:val="21"/>
                <w:szCs w:val="21"/>
                <w:lang w:val="en-US" w:eastAsia="zh-CN"/>
              </w:rPr>
            </w:pPr>
            <w:r>
              <w:rPr>
                <w:rFonts w:hint="eastAsia"/>
                <w:sz w:val="21"/>
                <w:szCs w:val="21"/>
                <w:lang w:val="en-US" w:eastAsia="zh-CN"/>
              </w:rPr>
              <w:t xml:space="preserve">    每月对各部门数据</w:t>
            </w:r>
            <w:r>
              <w:rPr>
                <w:rFonts w:hint="default" w:ascii="Times New Roman" w:hAnsi="Times New Roman" w:cs="Times New Roman" w:eastAsiaTheme="minorEastAsia"/>
                <w:color w:val="000000" w:themeColor="text1"/>
                <w:sz w:val="21"/>
                <w:szCs w:val="21"/>
                <w:lang w:val="en-US" w:eastAsia="zh-CN"/>
              </w:rPr>
              <w:t>进行</w:t>
            </w:r>
            <w:r>
              <w:rPr>
                <w:rFonts w:hint="eastAsia" w:cs="Times New Roman" w:eastAsiaTheme="minorEastAsia"/>
                <w:color w:val="000000" w:themeColor="text1"/>
                <w:sz w:val="21"/>
                <w:szCs w:val="21"/>
                <w:lang w:val="en-US" w:eastAsia="zh-CN"/>
              </w:rPr>
              <w:t>归档、总结；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保持有“监视和测量控制程序”，有效文件；</w:t>
            </w:r>
          </w:p>
          <w:p>
            <w:pPr>
              <w:spacing w:line="360" w:lineRule="auto"/>
              <w:ind w:firstLine="420" w:firstLineChars="200"/>
              <w:rPr>
                <w:rFonts w:hint="eastAsia"/>
                <w:sz w:val="21"/>
                <w:szCs w:val="21"/>
                <w:lang w:val="en-US" w:eastAsia="zh-CN"/>
              </w:rPr>
            </w:pPr>
            <w:r>
              <w:rPr>
                <w:rFonts w:hint="eastAsia"/>
                <w:sz w:val="21"/>
                <w:szCs w:val="21"/>
                <w:lang w:val="en-US" w:eastAsia="zh-CN"/>
              </w:rPr>
              <w:t>查监测装置台账列有计量装置，查见校准证书，有效期内；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保留特种设备台账、使用登记证、定期检定报告，均有效。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000000" w:themeColor="text1"/>
                <w:sz w:val="21"/>
                <w:szCs w:val="21"/>
                <w:lang w:val="en-US" w:eastAsia="zh-CN"/>
              </w:rPr>
            </w:pPr>
            <w:r>
              <w:rPr>
                <w:rFonts w:hint="default" w:ascii="Times New Roman" w:hAnsi="Times New Roman" w:cs="Times New Roman" w:eastAsiaTheme="minorEastAsia"/>
                <w:color w:val="000000" w:themeColor="text1"/>
                <w:sz w:val="21"/>
                <w:szCs w:val="21"/>
                <w:lang w:val="en-US" w:eastAsia="zh-CN"/>
              </w:rPr>
              <w:t>介绍说公司每年会召开会议，对年度工作进行总结，明确公司优势，提出公司发展中存在的问题，并对下年度的工作做出安排。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b/>
                <w:color w:val="000000" w:themeColor="text1"/>
                <w:sz w:val="21"/>
                <w:szCs w:val="21"/>
              </w:rPr>
            </w:pPr>
            <w:r>
              <w:rPr>
                <w:rFonts w:hint="default" w:ascii="Times New Roman" w:hAnsi="Times New Roman" w:cs="Times New Roman" w:eastAsiaTheme="minorEastAsia"/>
                <w:color w:val="000000" w:themeColor="text1"/>
                <w:sz w:val="21"/>
                <w:szCs w:val="21"/>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720" w:type="dxa"/>
            <w:vMerge w:val="continue"/>
            <w:textDirection w:val="tbRlV"/>
            <w:vAlign w:val="center"/>
          </w:tcPr>
          <w:p>
            <w:pPr>
              <w:spacing w:line="360" w:lineRule="auto"/>
              <w:ind w:left="113" w:right="113"/>
              <w:jc w:val="center"/>
              <w:rPr>
                <w:b/>
                <w:color w:val="000000" w:themeColor="text1"/>
                <w:sz w:val="21"/>
                <w:szCs w:val="21"/>
              </w:rPr>
            </w:pPr>
          </w:p>
        </w:tc>
        <w:tc>
          <w:tcPr>
            <w:tcW w:w="9198" w:type="dxa"/>
          </w:tcPr>
          <w:p>
            <w:pPr>
              <w:spacing w:line="360" w:lineRule="auto"/>
              <w:ind w:left="100" w:hanging="105" w:hangingChars="50"/>
              <w:rPr>
                <w:rFonts w:hint="eastAsia"/>
                <w:b/>
                <w:color w:val="000000" w:themeColor="text1"/>
                <w:sz w:val="21"/>
                <w:szCs w:val="21"/>
              </w:rPr>
            </w:pPr>
            <w:r>
              <w:rPr>
                <w:rFonts w:hint="eastAsia"/>
                <w:b/>
                <w:color w:val="000000" w:themeColor="text1"/>
                <w:sz w:val="21"/>
                <w:szCs w:val="21"/>
              </w:rPr>
              <w:t>2.顾客满意</w:t>
            </w:r>
          </w:p>
          <w:p>
            <w:pPr>
              <w:spacing w:line="360" w:lineRule="auto"/>
              <w:ind w:firstLine="420" w:firstLineChars="200"/>
              <w:rPr>
                <w:rFonts w:hint="eastAsia" w:eastAsia="宋体"/>
                <w:b/>
                <w:color w:val="000000" w:themeColor="text1"/>
                <w:sz w:val="21"/>
                <w:szCs w:val="21"/>
                <w:lang w:val="en-US" w:eastAsia="zh-CN"/>
              </w:rPr>
            </w:pPr>
            <w:r>
              <w:rPr>
                <w:rFonts w:hint="default" w:ascii="Times New Roman" w:hAnsi="Times New Roman" w:cs="Times New Roman" w:eastAsiaTheme="minorEastAsia"/>
                <w:sz w:val="21"/>
                <w:szCs w:val="21"/>
                <w:lang w:val="en-US" w:eastAsia="zh-CN"/>
              </w:rPr>
              <w:t>企业主要通过开展顾客满意度调查来收集并了解顾客满意的信息。顾客满意度调查原则上每年组织实施一次，提供了2021年6月份进行的顾客满意程度调查表，调查表从产品质量、价格比、交货期、售后服务等方面对顾客满意度进行了调查。查见客户龙岩兴林畜牧科技有限公司、尤溪县源通兽药经营部、三明市三元区圣祥兽药经营部、鄂托克旗杨占东兽药店等满意度调查表10份，查到顾客满意度调查分析，经统计表明顾客满意综合率为96.4%，达到了公司质量目标。</w:t>
            </w:r>
            <w:r>
              <w:rPr>
                <w:rFonts w:hint="eastAsia" w:ascii="Times New Roman" w:hAnsi="Times New Roman" w:cs="Times New Roman" w:eastAsiaTheme="minor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720" w:type="dxa"/>
            <w:vMerge w:val="continue"/>
            <w:textDirection w:val="tbRlV"/>
            <w:vAlign w:val="center"/>
          </w:tcPr>
          <w:p>
            <w:pPr>
              <w:spacing w:line="360" w:lineRule="auto"/>
              <w:ind w:left="201" w:right="113" w:hanging="211" w:hangingChars="100"/>
              <w:jc w:val="center"/>
              <w:rPr>
                <w:b/>
                <w:color w:val="000000" w:themeColor="text1"/>
                <w:sz w:val="21"/>
                <w:szCs w:val="21"/>
              </w:rPr>
            </w:pPr>
          </w:p>
        </w:tc>
        <w:tc>
          <w:tcPr>
            <w:tcW w:w="9198" w:type="dxa"/>
          </w:tcPr>
          <w:p>
            <w:pPr>
              <w:spacing w:line="360" w:lineRule="auto"/>
              <w:rPr>
                <w:b/>
                <w:color w:val="000000" w:themeColor="text1"/>
                <w:sz w:val="21"/>
                <w:szCs w:val="21"/>
              </w:rPr>
            </w:pPr>
            <w:r>
              <w:rPr>
                <w:rFonts w:hint="eastAsia"/>
                <w:b/>
                <w:color w:val="000000" w:themeColor="text1"/>
                <w:sz w:val="21"/>
                <w:szCs w:val="21"/>
              </w:rPr>
              <w:t>3. 内审（包括内审策划审核方案中考虑拟审核的过程和区域的状况和重要性）</w:t>
            </w:r>
          </w:p>
          <w:p>
            <w:pPr>
              <w:spacing w:line="360" w:lineRule="auto"/>
              <w:ind w:firstLine="420" w:firstLineChars="200"/>
              <w:rPr>
                <w:rFonts w:hint="eastAsia"/>
                <w:sz w:val="21"/>
                <w:szCs w:val="21"/>
                <w:lang w:val="en-US" w:eastAsia="zh-CN"/>
              </w:rPr>
            </w:pPr>
            <w:r>
              <w:rPr>
                <w:rFonts w:hint="eastAsia"/>
                <w:sz w:val="21"/>
                <w:szCs w:val="21"/>
                <w:lang w:val="en-US" w:eastAsia="zh-CN"/>
              </w:rPr>
              <w:t>2021年4月20日至21日，对各部门进行了内审，保留了内审计划、内审记录、不符合报告、内审报告；内审覆盖了管理体系范围内的活动及标准的要求；</w:t>
            </w:r>
          </w:p>
          <w:p>
            <w:pPr>
              <w:spacing w:line="360" w:lineRule="auto"/>
              <w:ind w:firstLine="420" w:firstLineChars="200"/>
              <w:rPr>
                <w:rFonts w:hint="default"/>
                <w:sz w:val="21"/>
                <w:szCs w:val="21"/>
                <w:lang w:val="en-US" w:eastAsia="zh-CN"/>
              </w:rPr>
            </w:pPr>
            <w:r>
              <w:rPr>
                <w:rFonts w:hint="eastAsia"/>
                <w:sz w:val="21"/>
                <w:szCs w:val="21"/>
                <w:lang w:val="en-US" w:eastAsia="zh-CN"/>
              </w:rPr>
              <w:t>本次内审未开具不符合报告，一般问题提出建议，及时整改；</w:t>
            </w:r>
          </w:p>
          <w:p>
            <w:pPr>
              <w:spacing w:line="360" w:lineRule="auto"/>
              <w:ind w:firstLine="420" w:firstLineChars="200"/>
              <w:rPr>
                <w:b/>
                <w:color w:val="000000" w:themeColor="text1"/>
                <w:sz w:val="21"/>
                <w:szCs w:val="21"/>
              </w:rPr>
            </w:pPr>
            <w:r>
              <w:rPr>
                <w:rFonts w:hint="eastAsia"/>
                <w:sz w:val="21"/>
                <w:szCs w:val="21"/>
                <w:lang w:val="en-US" w:eastAsia="zh-CN"/>
              </w:rPr>
              <w:t>内审结论为：体系运行基本符合标准的要求，其运行是有较的。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720" w:type="dxa"/>
            <w:vMerge w:val="continue"/>
            <w:textDirection w:val="tbRlV"/>
            <w:vAlign w:val="center"/>
          </w:tcPr>
          <w:p>
            <w:pPr>
              <w:spacing w:line="360" w:lineRule="auto"/>
              <w:ind w:left="201" w:right="113" w:hanging="211" w:hangingChars="100"/>
              <w:jc w:val="center"/>
              <w:rPr>
                <w:b/>
                <w:color w:val="000000" w:themeColor="text1"/>
                <w:sz w:val="21"/>
                <w:szCs w:val="21"/>
              </w:rPr>
            </w:pPr>
          </w:p>
        </w:tc>
        <w:tc>
          <w:tcPr>
            <w:tcW w:w="9198" w:type="dxa"/>
          </w:tcPr>
          <w:p>
            <w:pPr>
              <w:spacing w:line="360" w:lineRule="auto"/>
              <w:rPr>
                <w:b/>
                <w:color w:val="000000" w:themeColor="text1"/>
                <w:sz w:val="21"/>
                <w:szCs w:val="21"/>
              </w:rPr>
            </w:pPr>
            <w:r>
              <w:rPr>
                <w:rFonts w:hint="eastAsia"/>
                <w:b/>
                <w:color w:val="000000" w:themeColor="text1"/>
                <w:sz w:val="21"/>
                <w:szCs w:val="21"/>
              </w:rPr>
              <w:t>4.管理评审（管理评审体系变更需求，纠正和预防措施、体系有效性等）</w:t>
            </w:r>
          </w:p>
          <w:p>
            <w:pPr>
              <w:spacing w:line="360" w:lineRule="auto"/>
              <w:ind w:firstLine="420" w:firstLineChars="200"/>
              <w:rPr>
                <w:rFonts w:hint="eastAsia"/>
                <w:sz w:val="21"/>
                <w:szCs w:val="21"/>
                <w:lang w:val="en-US" w:eastAsia="zh-CN"/>
              </w:rPr>
            </w:pPr>
            <w:r>
              <w:rPr>
                <w:rFonts w:hint="eastAsia"/>
                <w:sz w:val="21"/>
                <w:szCs w:val="21"/>
                <w:lang w:val="en-US" w:eastAsia="zh-CN"/>
              </w:rPr>
              <w:t>2021年5月7日在公司会议室由</w:t>
            </w:r>
            <w:r>
              <w:rPr>
                <w:rFonts w:hint="eastAsia"/>
                <w:color w:val="auto"/>
                <w:sz w:val="21"/>
                <w:szCs w:val="21"/>
                <w:highlight w:val="none"/>
                <w:lang w:val="en-US" w:eastAsia="zh-CN"/>
              </w:rPr>
              <w:t>唐进波</w:t>
            </w:r>
            <w:r>
              <w:rPr>
                <w:rFonts w:hint="eastAsia"/>
                <w:sz w:val="21"/>
                <w:szCs w:val="21"/>
                <w:lang w:val="en-US" w:eastAsia="zh-CN"/>
              </w:rPr>
              <w:t>总经理主持召开管理评审会议；</w:t>
            </w:r>
          </w:p>
          <w:p>
            <w:pPr>
              <w:spacing w:line="360" w:lineRule="auto"/>
              <w:ind w:firstLine="420" w:firstLineChars="200"/>
              <w:rPr>
                <w:rFonts w:hint="eastAsia"/>
                <w:sz w:val="21"/>
                <w:szCs w:val="21"/>
                <w:lang w:val="en-US" w:eastAsia="zh-CN"/>
              </w:rPr>
            </w:pPr>
            <w:r>
              <w:rPr>
                <w:rFonts w:hint="eastAsia"/>
                <w:sz w:val="21"/>
                <w:szCs w:val="21"/>
                <w:lang w:val="en-US" w:eastAsia="zh-CN"/>
              </w:rPr>
              <w:t>保留管理评审计划、管理评审报告、管理评审会议纪要等；</w:t>
            </w:r>
          </w:p>
          <w:p>
            <w:pPr>
              <w:spacing w:line="360" w:lineRule="auto"/>
              <w:ind w:firstLine="420" w:firstLineChars="200"/>
              <w:rPr>
                <w:rFonts w:hint="eastAsia"/>
                <w:sz w:val="21"/>
                <w:szCs w:val="21"/>
                <w:lang w:val="en-US" w:eastAsia="zh-CN"/>
              </w:rPr>
            </w:pPr>
            <w:r>
              <w:rPr>
                <w:rFonts w:hint="eastAsia"/>
                <w:sz w:val="21"/>
                <w:szCs w:val="21"/>
                <w:lang w:val="en-US" w:eastAsia="zh-CN"/>
              </w:rPr>
              <w:t>管理评审输入充分；</w:t>
            </w:r>
          </w:p>
          <w:p>
            <w:pPr>
              <w:spacing w:line="360" w:lineRule="auto"/>
              <w:ind w:firstLine="420" w:firstLineChars="200"/>
              <w:rPr>
                <w:rFonts w:hint="eastAsia"/>
                <w:sz w:val="21"/>
                <w:szCs w:val="21"/>
                <w:lang w:val="en-US" w:eastAsia="zh-CN"/>
              </w:rPr>
            </w:pPr>
            <w:r>
              <w:rPr>
                <w:rFonts w:hint="eastAsia"/>
                <w:sz w:val="21"/>
                <w:szCs w:val="21"/>
                <w:lang w:val="en-US" w:eastAsia="zh-CN"/>
              </w:rPr>
              <w:t>管理评审结论：质量管理体系的建立和运行是充分的、适宜的、有效的。</w:t>
            </w:r>
          </w:p>
          <w:p>
            <w:pPr>
              <w:spacing w:line="360" w:lineRule="auto"/>
              <w:ind w:firstLine="420" w:firstLineChars="200"/>
              <w:rPr>
                <w:rFonts w:hint="eastAsia"/>
                <w:sz w:val="21"/>
                <w:szCs w:val="21"/>
                <w:lang w:val="en-US" w:eastAsia="zh-CN"/>
              </w:rPr>
            </w:pPr>
            <w:r>
              <w:rPr>
                <w:rFonts w:hint="eastAsia"/>
                <w:sz w:val="21"/>
                <w:szCs w:val="21"/>
                <w:lang w:val="en-US" w:eastAsia="zh-CN"/>
              </w:rPr>
              <w:t>改进措施要求：进一步组织对相关的法律、法规、规程和规范的学习。</w:t>
            </w:r>
          </w:p>
          <w:p>
            <w:pPr>
              <w:spacing w:line="360" w:lineRule="auto"/>
              <w:ind w:firstLine="420" w:firstLineChars="200"/>
              <w:rPr>
                <w:b/>
                <w:color w:val="000000" w:themeColor="text1"/>
                <w:sz w:val="21"/>
                <w:szCs w:val="21"/>
              </w:rPr>
            </w:pPr>
            <w:r>
              <w:rPr>
                <w:rFonts w:hint="eastAsia" w:ascii="Times New Roman" w:hAnsi="Times New Roman" w:eastAsia="宋体" w:cs="Times New Roman"/>
                <w:sz w:val="21"/>
                <w:szCs w:val="21"/>
                <w:lang w:val="en-US" w:eastAsia="zh-CN"/>
              </w:rPr>
              <w:t>保留有“管理评审改进措施计划”。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tcPr>
          <w:p>
            <w:pPr>
              <w:spacing w:line="360" w:lineRule="auto"/>
              <w:rPr>
                <w:rFonts w:hint="eastAsia"/>
                <w:b/>
                <w:color w:val="000000" w:themeColor="text1"/>
                <w:sz w:val="21"/>
                <w:szCs w:val="21"/>
              </w:rPr>
            </w:pPr>
            <w:r>
              <w:rPr>
                <w:rFonts w:hint="eastAsia"/>
                <w:b/>
                <w:color w:val="000000" w:themeColor="text1"/>
                <w:sz w:val="21"/>
                <w:szCs w:val="21"/>
              </w:rPr>
              <w:t>5.  EMS是否按规定对主要污染物（污水、废气、噪声、废渣等）及排放实施了例行的监视或测量，结果是否满足相关要求？</w:t>
            </w:r>
          </w:p>
          <w:p>
            <w:pPr>
              <w:spacing w:line="360" w:lineRule="auto"/>
              <w:rPr>
                <w:rFonts w:hint="eastAsia" w:eastAsia="宋体"/>
                <w:b/>
                <w:color w:val="000000" w:themeColor="text1"/>
                <w:sz w:val="21"/>
                <w:szCs w:val="21"/>
                <w:lang w:val="en-US" w:eastAsia="zh-CN"/>
              </w:rPr>
            </w:pPr>
            <w:r>
              <w:rPr>
                <w:rFonts w:hint="eastAsia"/>
                <w:b/>
                <w:color w:val="000000" w:themeColor="text1"/>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tcPr>
          <w:p>
            <w:pPr>
              <w:spacing w:line="360" w:lineRule="auto"/>
              <w:rPr>
                <w:b/>
                <w:color w:val="000000" w:themeColor="text1"/>
                <w:sz w:val="21"/>
                <w:szCs w:val="21"/>
              </w:rPr>
            </w:pPr>
            <w:r>
              <w:rPr>
                <w:rFonts w:hint="eastAsia"/>
                <w:b/>
                <w:color w:val="000000" w:themeColor="text1"/>
                <w:sz w:val="21"/>
                <w:szCs w:val="21"/>
              </w:rPr>
              <w:t xml:space="preserve">6.  </w:t>
            </w:r>
            <w:r>
              <w:rPr>
                <w:b/>
                <w:color w:val="000000" w:themeColor="text1"/>
                <w:sz w:val="21"/>
                <w:szCs w:val="21"/>
              </w:rPr>
              <w:t>EMS</w:t>
            </w:r>
            <w:r>
              <w:rPr>
                <w:rFonts w:hint="eastAsia"/>
                <w:b/>
                <w:color w:val="000000" w:themeColor="text1"/>
                <w:sz w:val="21"/>
                <w:szCs w:val="21"/>
              </w:rPr>
              <w:t>国家/地方环保部门监测结果、新改扩建项目符合环评报告、三同时验收报告要求情况及措施</w:t>
            </w:r>
          </w:p>
          <w:p>
            <w:pPr>
              <w:spacing w:line="360" w:lineRule="auto"/>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tcPr>
          <w:p>
            <w:pPr>
              <w:spacing w:line="360" w:lineRule="auto"/>
              <w:rPr>
                <w:b/>
                <w:color w:val="000000" w:themeColor="text1"/>
                <w:sz w:val="21"/>
                <w:szCs w:val="21"/>
              </w:rPr>
            </w:pPr>
            <w:r>
              <w:rPr>
                <w:rFonts w:hint="eastAsia"/>
                <w:b/>
                <w:color w:val="000000" w:themeColor="text1"/>
                <w:sz w:val="21"/>
                <w:szCs w:val="21"/>
              </w:rPr>
              <w:t>7. OHSMS是否按规定对职业健康安全项目进行定期测量，结果是否满足相关要求：</w:t>
            </w:r>
          </w:p>
          <w:p>
            <w:pPr>
              <w:spacing w:line="360" w:lineRule="auto"/>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tcPr>
          <w:p>
            <w:pPr>
              <w:spacing w:line="360" w:lineRule="auto"/>
              <w:rPr>
                <w:b/>
                <w:color w:val="000000" w:themeColor="text1"/>
                <w:sz w:val="21"/>
                <w:szCs w:val="21"/>
              </w:rPr>
            </w:pPr>
            <w:r>
              <w:rPr>
                <w:rFonts w:hint="eastAsia"/>
                <w:b/>
                <w:color w:val="000000" w:themeColor="text1"/>
                <w:sz w:val="21"/>
                <w:szCs w:val="21"/>
              </w:rPr>
              <w:t>8.OHSMS国家/地方职业健康安全部门监督检查情况及措施</w:t>
            </w:r>
          </w:p>
          <w:p>
            <w:pPr>
              <w:spacing w:line="360" w:lineRule="auto"/>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20" w:type="dxa"/>
            <w:vMerge w:val="continue"/>
            <w:tcBorders>
              <w:bottom w:val="single" w:color="auto" w:sz="4" w:space="0"/>
            </w:tcBorders>
            <w:vAlign w:val="center"/>
          </w:tcPr>
          <w:p>
            <w:pPr>
              <w:spacing w:line="360" w:lineRule="auto"/>
              <w:jc w:val="center"/>
              <w:rPr>
                <w:b/>
                <w:color w:val="000000" w:themeColor="text1"/>
                <w:sz w:val="21"/>
                <w:szCs w:val="21"/>
              </w:rPr>
            </w:pPr>
          </w:p>
        </w:tc>
        <w:tc>
          <w:tcPr>
            <w:tcW w:w="9198" w:type="dxa"/>
            <w:tcBorders>
              <w:bottom w:val="single" w:color="auto" w:sz="4" w:space="0"/>
            </w:tcBorders>
          </w:tcPr>
          <w:p>
            <w:pPr>
              <w:widowControl/>
              <w:spacing w:line="360" w:lineRule="auto"/>
              <w:rPr>
                <w:rFonts w:hint="eastAsia"/>
                <w:b/>
                <w:color w:val="000000" w:themeColor="text1"/>
                <w:sz w:val="21"/>
                <w:szCs w:val="21"/>
              </w:rPr>
            </w:pPr>
            <w:r>
              <w:rPr>
                <w:rFonts w:hint="eastAsia"/>
                <w:b/>
                <w:color w:val="000000" w:themeColor="text1"/>
                <w:sz w:val="21"/>
                <w:szCs w:val="21"/>
              </w:rPr>
              <w:t>9. 其他能够标明组织绩效、信誉的证据/信息：</w:t>
            </w:r>
            <w:bookmarkStart w:id="22" w:name="_GoBack"/>
            <w:bookmarkEnd w:id="22"/>
          </w:p>
          <w:p>
            <w:pPr>
              <w:widowControl/>
              <w:spacing w:line="360" w:lineRule="auto"/>
              <w:rPr>
                <w:rFonts w:hint="eastAsia" w:eastAsia="宋体"/>
                <w:b/>
                <w:color w:val="000000" w:themeColor="text1"/>
                <w:sz w:val="21"/>
                <w:szCs w:val="21"/>
                <w:lang w:val="en-US" w:eastAsia="zh-CN"/>
              </w:rPr>
            </w:pPr>
            <w:r>
              <w:rPr>
                <w:rFonts w:hint="eastAsia"/>
                <w:b/>
                <w:color w:val="000000" w:themeColor="text1"/>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20" w:type="dxa"/>
            <w:vMerge w:val="restart"/>
            <w:vAlign w:val="center"/>
          </w:tcPr>
          <w:p>
            <w:pPr>
              <w:spacing w:line="360" w:lineRule="auto"/>
              <w:ind w:left="113"/>
              <w:jc w:val="center"/>
              <w:rPr>
                <w:b/>
                <w:color w:val="000000" w:themeColor="text1"/>
                <w:sz w:val="21"/>
                <w:szCs w:val="21"/>
              </w:rPr>
            </w:pPr>
            <w:r>
              <w:rPr>
                <w:rFonts w:hint="eastAsia"/>
                <w:b/>
                <w:color w:val="000000" w:themeColor="text1"/>
                <w:sz w:val="21"/>
                <w:szCs w:val="21"/>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b/>
                <w:color w:val="000000" w:themeColor="text1"/>
                <w:sz w:val="21"/>
                <w:szCs w:val="21"/>
              </w:rPr>
            </w:pPr>
            <w:r>
              <w:rPr>
                <w:rFonts w:hint="eastAsia"/>
                <w:b/>
                <w:color w:val="000000" w:themeColor="text1"/>
                <w:sz w:val="21"/>
                <w:szCs w:val="21"/>
              </w:rPr>
              <w:t>1 纠正/预防措施的实施及效果</w:t>
            </w:r>
            <w:r>
              <w:rPr>
                <w:rFonts w:hint="eastAsia"/>
                <w:b/>
                <w:color w:val="000000" w:themeColor="text1"/>
                <w:spacing w:val="-8"/>
                <w:sz w:val="21"/>
                <w:szCs w:val="21"/>
              </w:rPr>
              <w:t>;</w:t>
            </w:r>
          </w:p>
          <w:p>
            <w:pPr>
              <w:spacing w:line="360" w:lineRule="auto"/>
              <w:ind w:firstLine="396" w:firstLineChars="200"/>
              <w:rPr>
                <w:b/>
                <w:color w:val="000000" w:themeColor="text1"/>
                <w:sz w:val="21"/>
                <w:szCs w:val="21"/>
              </w:rPr>
            </w:pPr>
            <w:r>
              <w:rPr>
                <w:rFonts w:hint="eastAsia" w:ascii="宋体" w:hAnsi="宋体" w:cs="Arial"/>
                <w:spacing w:val="-6"/>
                <w:sz w:val="21"/>
                <w:szCs w:val="21"/>
                <w:highlight w:val="none"/>
                <w:lang w:val="en-US" w:eastAsia="zh-CN"/>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b/>
                <w:color w:val="000000" w:themeColor="text1"/>
                <w:spacing w:val="-20"/>
                <w:sz w:val="21"/>
                <w:szCs w:val="21"/>
              </w:rPr>
            </w:pPr>
            <w:r>
              <w:rPr>
                <w:rFonts w:hint="eastAsia"/>
                <w:b/>
                <w:color w:val="000000" w:themeColor="text1"/>
                <w:spacing w:val="-20"/>
                <w:sz w:val="21"/>
                <w:szCs w:val="21"/>
              </w:rPr>
              <w:t>2（近一年）重大事故、顾客/相关方投诉：：</w:t>
            </w:r>
          </w:p>
          <w:p>
            <w:pPr>
              <w:spacing w:line="360" w:lineRule="auto"/>
              <w:rPr>
                <w:b/>
                <w:color w:val="000000" w:themeColor="text1"/>
                <w:sz w:val="21"/>
                <w:szCs w:val="21"/>
              </w:rPr>
            </w:pPr>
            <w:r>
              <w:rPr>
                <w:rFonts w:hint="eastAsia"/>
                <w:b/>
                <w:color w:val="000000" w:themeColor="text1"/>
                <w:spacing w:val="-2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b/>
                <w:color w:val="000000" w:themeColor="text1"/>
                <w:sz w:val="21"/>
                <w:szCs w:val="21"/>
              </w:rPr>
            </w:pPr>
            <w:r>
              <w:rPr>
                <w:rFonts w:hint="eastAsia"/>
                <w:b/>
                <w:color w:val="000000" w:themeColor="text1"/>
                <w:sz w:val="21"/>
                <w:szCs w:val="21"/>
              </w:rPr>
              <w:t>3. 一阶段提出问题的整改情况?</w:t>
            </w:r>
          </w:p>
          <w:p>
            <w:pPr>
              <w:spacing w:line="360" w:lineRule="auto"/>
              <w:rPr>
                <w:rFonts w:hint="default" w:eastAsia="宋体"/>
                <w:b/>
                <w:color w:val="000000" w:themeColor="text1"/>
                <w:spacing w:val="-20"/>
                <w:sz w:val="21"/>
                <w:szCs w:val="21"/>
                <w:lang w:val="en-US" w:eastAsia="zh-CN"/>
              </w:rPr>
            </w:pPr>
            <w:r>
              <w:rPr>
                <w:rFonts w:hint="eastAsia" w:ascii="宋体" w:hAnsi="宋体" w:cs="Arial"/>
                <w:spacing w:val="-6"/>
                <w:sz w:val="21"/>
                <w:szCs w:val="21"/>
                <w:highlight w:val="none"/>
                <w:lang w:val="en-US" w:eastAsia="zh-CN"/>
              </w:rPr>
              <w:t>一阶段未提出整改要求。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rFonts w:hint="eastAsia"/>
                <w:b/>
                <w:color w:val="000000" w:themeColor="text1"/>
                <w:sz w:val="21"/>
                <w:szCs w:val="21"/>
              </w:rPr>
            </w:pPr>
            <w:r>
              <w:rPr>
                <w:rFonts w:hint="eastAsia"/>
                <w:b/>
                <w:color w:val="000000" w:themeColor="text1"/>
                <w:sz w:val="21"/>
                <w:szCs w:val="21"/>
              </w:rPr>
              <w:t>4.创新情况</w:t>
            </w:r>
          </w:p>
          <w:p>
            <w:pPr>
              <w:spacing w:line="360" w:lineRule="auto"/>
              <w:rPr>
                <w:rFonts w:hint="eastAsia" w:eastAsia="宋体"/>
                <w:b/>
                <w:color w:val="000000" w:themeColor="text1"/>
                <w:sz w:val="21"/>
                <w:szCs w:val="21"/>
                <w:lang w:val="en-US" w:eastAsia="zh-CN"/>
              </w:rPr>
            </w:pPr>
            <w:r>
              <w:rPr>
                <w:rFonts w:hint="eastAsia"/>
                <w:b/>
                <w:color w:val="000000" w:themeColor="text1"/>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rFonts w:hint="eastAsia"/>
                <w:b/>
                <w:color w:val="000000" w:themeColor="text1"/>
                <w:sz w:val="21"/>
                <w:szCs w:val="21"/>
              </w:rPr>
            </w:pPr>
            <w:r>
              <w:rPr>
                <w:rFonts w:hint="eastAsia"/>
                <w:b/>
                <w:color w:val="000000" w:themeColor="text1"/>
                <w:sz w:val="21"/>
                <w:szCs w:val="21"/>
              </w:rPr>
              <w:t>5. 上次不符合的整改情况（再认证填写）</w:t>
            </w:r>
          </w:p>
          <w:p>
            <w:pPr>
              <w:spacing w:line="360" w:lineRule="auto"/>
              <w:rPr>
                <w:rFonts w:hint="eastAsia" w:eastAsia="宋体"/>
                <w:b/>
                <w:color w:val="000000" w:themeColor="text1"/>
                <w:sz w:val="21"/>
                <w:szCs w:val="21"/>
                <w:lang w:val="en-US" w:eastAsia="zh-CN"/>
              </w:rPr>
            </w:pPr>
            <w:r>
              <w:rPr>
                <w:rFonts w:hint="eastAsia"/>
                <w:b/>
                <w:color w:val="000000" w:themeColor="text1"/>
                <w:sz w:val="21"/>
                <w:szCs w:val="21"/>
                <w:lang w:val="en-US" w:eastAsia="zh-CN"/>
              </w:rPr>
              <w:t xml:space="preserve"> </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0</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0</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rFonts w:hint="eastAsia"/>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pStyle w:val="2"/>
        <w:rPr>
          <w:rFonts w:hint="eastAsia"/>
          <w:b/>
          <w:color w:val="000000" w:themeColor="text1"/>
        </w:rPr>
      </w:pPr>
    </w:p>
    <w:p>
      <w:pPr>
        <w:pStyle w:val="2"/>
        <w:rPr>
          <w:rFonts w:hint="eastAsia"/>
          <w:b/>
          <w:color w:val="000000" w:themeColor="text1"/>
        </w:rPr>
      </w:pP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pStyle w:val="2"/>
        <w:rPr>
          <w:rFonts w:hint="eastAsia" w:ascii="宋体" w:hAnsi="宋体"/>
          <w:b/>
          <w:color w:val="000000" w:themeColor="text1"/>
          <w:szCs w:val="21"/>
        </w:rPr>
      </w:pPr>
    </w:p>
    <w:p>
      <w:pPr>
        <w:pStyle w:val="2"/>
        <w:rPr>
          <w:rFonts w:hint="eastAsia" w:ascii="宋体" w:hAnsi="宋体"/>
          <w:b/>
          <w:color w:val="000000" w:themeColor="text1"/>
          <w:szCs w:val="21"/>
        </w:rPr>
      </w:pPr>
    </w:p>
    <w:p>
      <w:pPr>
        <w:pStyle w:val="2"/>
        <w:rPr>
          <w:rFonts w:hint="eastAsia" w:ascii="宋体" w:hAnsi="宋体"/>
          <w:b/>
          <w:color w:val="000000" w:themeColor="text1"/>
          <w:szCs w:val="21"/>
        </w:rPr>
      </w:pPr>
    </w:p>
    <w:p>
      <w:pPr>
        <w:pStyle w:val="2"/>
        <w:rPr>
          <w:rFonts w:hint="eastAsia" w:ascii="宋体" w:hAnsi="宋体"/>
          <w:b/>
          <w:color w:val="000000" w:themeColor="text1"/>
          <w:szCs w:val="21"/>
        </w:rPr>
      </w:pPr>
    </w:p>
    <w:p>
      <w:pPr>
        <w:pStyle w:val="2"/>
        <w:rPr>
          <w:rFonts w:hint="eastAsia" w:ascii="宋体" w:hAnsi="宋体"/>
          <w:b/>
          <w:color w:val="000000" w:themeColor="text1"/>
          <w:szCs w:val="21"/>
        </w:rPr>
      </w:pPr>
    </w:p>
    <w:p>
      <w:pPr>
        <w:pStyle w:val="2"/>
        <w:rPr>
          <w:rFonts w:hint="eastAsia" w:ascii="宋体" w:hAnsi="宋体"/>
          <w:b/>
          <w:color w:val="000000" w:themeColor="text1"/>
          <w:szCs w:val="21"/>
        </w:rPr>
      </w:pPr>
    </w:p>
    <w:p>
      <w:pPr>
        <w:pStyle w:val="2"/>
        <w:rPr>
          <w:rFonts w:hint="eastAsia" w:ascii="宋体" w:hAnsi="宋体"/>
          <w:b/>
          <w:color w:val="000000" w:themeColor="text1"/>
          <w:szCs w:val="21"/>
        </w:rPr>
      </w:pP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trPr>
        <w:tc>
          <w:tcPr>
            <w:tcW w:w="10080" w:type="dxa"/>
          </w:tcPr>
          <w:p>
            <w:pPr>
              <w:spacing w:line="360" w:lineRule="auto"/>
              <w:rPr>
                <w:b/>
                <w:color w:val="000000" w:themeColor="text1"/>
                <w:sz w:val="21"/>
                <w:szCs w:val="21"/>
              </w:rPr>
            </w:pPr>
            <w:r>
              <w:rPr>
                <w:rFonts w:hint="eastAsia"/>
                <w:b/>
                <w:color w:val="000000" w:themeColor="text1"/>
                <w:spacing w:val="-10"/>
                <w:sz w:val="21"/>
                <w:szCs w:val="21"/>
              </w:rPr>
              <w:t xml:space="preserve">1. </w:t>
            </w:r>
            <w:r>
              <w:rPr>
                <w:rFonts w:hint="eastAsia"/>
                <w:b/>
                <w:color w:val="000000" w:themeColor="text1"/>
                <w:spacing w:val="-10"/>
                <w:sz w:val="21"/>
                <w:szCs w:val="21"/>
              </w:rPr>
              <w:sym w:font="Wingdings 2" w:char="0052"/>
            </w:r>
            <w:r>
              <w:rPr>
                <w:rFonts w:hint="eastAsia"/>
                <w:b/>
                <w:color w:val="000000" w:themeColor="text1"/>
                <w:sz w:val="21"/>
                <w:szCs w:val="21"/>
              </w:rPr>
              <w:t>QMS</w:t>
            </w:r>
            <w:r>
              <w:rPr>
                <w:rFonts w:hint="eastAsia"/>
                <w:b/>
                <w:color w:val="000000" w:themeColor="text1"/>
                <w:spacing w:val="-10"/>
                <w:sz w:val="21"/>
                <w:szCs w:val="21"/>
              </w:rPr>
              <w:t>□</w:t>
            </w:r>
            <w:r>
              <w:rPr>
                <w:rFonts w:hint="eastAsia"/>
                <w:b/>
                <w:color w:val="000000" w:themeColor="text1"/>
                <w:sz w:val="21"/>
                <w:szCs w:val="21"/>
              </w:rPr>
              <w:t xml:space="preserve">EMS  </w:t>
            </w:r>
            <w:r>
              <w:rPr>
                <w:rFonts w:hint="eastAsia"/>
                <w:b/>
                <w:color w:val="000000" w:themeColor="text1"/>
                <w:spacing w:val="-10"/>
                <w:sz w:val="21"/>
                <w:szCs w:val="21"/>
              </w:rPr>
              <w:t>□</w:t>
            </w:r>
            <w:r>
              <w:rPr>
                <w:rFonts w:hint="eastAsia"/>
                <w:b/>
                <w:color w:val="000000" w:themeColor="text1"/>
                <w:sz w:val="21"/>
                <w:szCs w:val="21"/>
              </w:rPr>
              <w:t>OHSMS的适宜性、充分性、运行有效性，自我完善机制等。管理体系满足适用要求和实现预期结果的能力。</w:t>
            </w:r>
          </w:p>
          <w:p>
            <w:pPr>
              <w:spacing w:line="360" w:lineRule="auto"/>
              <w:ind w:left="221" w:hanging="211" w:hangingChars="100"/>
              <w:rPr>
                <w:rFonts w:hint="eastAsia"/>
                <w:b/>
                <w:color w:val="000000" w:themeColor="text1"/>
                <w:sz w:val="21"/>
                <w:szCs w:val="21"/>
              </w:rPr>
            </w:pPr>
            <w:r>
              <w:rPr>
                <w:rFonts w:hint="eastAsia"/>
                <w:b/>
                <w:color w:val="000000" w:themeColor="text1"/>
                <w:sz w:val="21"/>
                <w:szCs w:val="21"/>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2"/>
              <w:spacing w:line="360" w:lineRule="auto"/>
              <w:ind w:firstLine="420" w:firstLineChars="200"/>
              <w:rPr>
                <w:sz w:val="21"/>
                <w:szCs w:val="21"/>
              </w:rPr>
            </w:pPr>
            <w:r>
              <w:rPr>
                <w:rFonts w:hint="eastAsia"/>
                <w:sz w:val="21"/>
                <w:szCs w:val="21"/>
              </w:rPr>
              <w:t>组织建立并实施的管理体系基本符合标准要求，可能存在的重要风险可以得到有效控制，没有出现过顾客投诉事件发生，体系运行基本有效，组织初步建立了自我完善和自我改进机制。经审核组</w:t>
            </w:r>
            <w:r>
              <w:rPr>
                <w:rFonts w:hint="eastAsia"/>
                <w:sz w:val="21"/>
                <w:szCs w:val="21"/>
                <w:lang w:val="en-US" w:eastAsia="zh-CN"/>
              </w:rPr>
              <w:t>确认</w:t>
            </w:r>
            <w:r>
              <w:rPr>
                <w:rFonts w:hint="eastAsia"/>
                <w:sz w:val="21"/>
                <w:szCs w:val="21"/>
              </w:rPr>
              <w:t>同意推荐认证注册。</w:t>
            </w:r>
          </w:p>
          <w:p>
            <w:pPr>
              <w:spacing w:line="360" w:lineRule="auto"/>
              <w:rPr>
                <w:b/>
                <w:color w:val="000000" w:themeColor="text1"/>
                <w:sz w:val="21"/>
                <w:szCs w:val="21"/>
              </w:rPr>
            </w:pPr>
            <w:r>
              <w:rPr>
                <w:rFonts w:hint="eastAsia"/>
                <w:b/>
                <w:color w:val="000000" w:themeColor="text1"/>
                <w:spacing w:val="-10"/>
                <w:sz w:val="21"/>
                <w:szCs w:val="21"/>
              </w:rPr>
              <w:t>□</w:t>
            </w:r>
            <w:r>
              <w:rPr>
                <w:rFonts w:hint="eastAsia"/>
                <w:b/>
                <w:color w:val="000000" w:themeColor="text1"/>
                <w:sz w:val="21"/>
                <w:szCs w:val="21"/>
              </w:rPr>
              <w:t xml:space="preserve">QMS  </w:t>
            </w:r>
            <w:r>
              <w:rPr>
                <w:rFonts w:hint="eastAsia"/>
                <w:b/>
                <w:color w:val="000000" w:themeColor="text1"/>
                <w:spacing w:val="-10"/>
                <w:sz w:val="21"/>
                <w:szCs w:val="21"/>
              </w:rPr>
              <w:t>□</w:t>
            </w:r>
            <w:r>
              <w:rPr>
                <w:rFonts w:hint="eastAsia"/>
                <w:b/>
                <w:color w:val="000000" w:themeColor="text1"/>
                <w:sz w:val="21"/>
                <w:szCs w:val="21"/>
              </w:rPr>
              <w:t xml:space="preserve">EMS  </w:t>
            </w:r>
            <w:r>
              <w:rPr>
                <w:rFonts w:hint="eastAsia"/>
                <w:b/>
                <w:color w:val="000000" w:themeColor="text1"/>
                <w:spacing w:val="-10"/>
                <w:sz w:val="21"/>
                <w:szCs w:val="21"/>
              </w:rPr>
              <w:t>□</w:t>
            </w:r>
            <w:r>
              <w:rPr>
                <w:rFonts w:hint="eastAsia"/>
                <w:b/>
                <w:color w:val="000000" w:themeColor="text1"/>
                <w:sz w:val="21"/>
                <w:szCs w:val="21"/>
              </w:rPr>
              <w:t>OHSMS持续的符合性及运行的有效性，以及与认证范围的持续相关性和适宜性及自我完善机制等。</w:t>
            </w:r>
          </w:p>
          <w:p>
            <w:pPr>
              <w:spacing w:line="360" w:lineRule="auto"/>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10080" w:type="dxa"/>
          </w:tcPr>
          <w:p>
            <w:pPr>
              <w:spacing w:line="360" w:lineRule="auto"/>
              <w:rPr>
                <w:b/>
                <w:color w:val="000000" w:themeColor="text1"/>
                <w:sz w:val="21"/>
                <w:szCs w:val="21"/>
              </w:rPr>
            </w:pPr>
            <w:r>
              <w:rPr>
                <w:rFonts w:hint="eastAsia"/>
                <w:b/>
                <w:color w:val="000000" w:themeColor="text1"/>
                <w:sz w:val="21"/>
                <w:szCs w:val="21"/>
              </w:rPr>
              <w:t>2.对审核范围适宜性结论</w:t>
            </w:r>
          </w:p>
          <w:p>
            <w:pPr>
              <w:spacing w:line="360" w:lineRule="auto"/>
              <w:rPr>
                <w:b/>
                <w:color w:val="000000" w:themeColor="text1"/>
                <w:sz w:val="21"/>
                <w:szCs w:val="21"/>
              </w:rPr>
            </w:pPr>
            <w:r>
              <w:rPr>
                <w:rFonts w:hint="eastAsia"/>
                <w:b/>
                <w:color w:val="000000" w:themeColor="text1"/>
                <w:spacing w:val="-10"/>
                <w:sz w:val="21"/>
                <w:szCs w:val="21"/>
              </w:rPr>
              <w:sym w:font="Wingdings 2" w:char="0052"/>
            </w:r>
            <w:r>
              <w:rPr>
                <w:rFonts w:hint="eastAsia"/>
                <w:b/>
                <w:color w:val="000000" w:themeColor="text1"/>
                <w:sz w:val="21"/>
                <w:szCs w:val="21"/>
              </w:rPr>
              <w:t>审核范围适宜，与申请范围一致</w:t>
            </w:r>
          </w:p>
          <w:p>
            <w:pPr>
              <w:spacing w:line="360" w:lineRule="auto"/>
              <w:rPr>
                <w:b/>
                <w:color w:val="000000" w:themeColor="text1"/>
                <w:sz w:val="21"/>
                <w:szCs w:val="21"/>
              </w:rPr>
            </w:pPr>
            <w:r>
              <w:rPr>
                <w:rFonts w:hint="eastAsia"/>
                <w:b/>
                <w:color w:val="000000" w:themeColor="text1"/>
                <w:spacing w:val="-10"/>
                <w:sz w:val="21"/>
                <w:szCs w:val="21"/>
              </w:rPr>
              <w:t>□</w:t>
            </w:r>
            <w:r>
              <w:rPr>
                <w:rFonts w:hint="eastAsia"/>
                <w:b/>
                <w:color w:val="000000" w:themeColor="text1"/>
                <w:sz w:val="21"/>
                <w:szCs w:val="21"/>
              </w:rPr>
              <w:t>审核范围变更，</w:t>
            </w:r>
          </w:p>
          <w:p>
            <w:pPr>
              <w:spacing w:line="360" w:lineRule="auto"/>
              <w:rPr>
                <w:rFonts w:ascii="宋体" w:hAnsi="宋体"/>
                <w:b/>
                <w:color w:val="000000" w:themeColor="text1"/>
                <w:sz w:val="21"/>
                <w:szCs w:val="21"/>
                <w:u w:val="single"/>
              </w:rPr>
            </w:pPr>
            <w:r>
              <w:rPr>
                <w:rFonts w:ascii="宋体" w:hAnsi="宋体"/>
                <w:b/>
                <w:color w:val="000000" w:themeColor="text1"/>
                <w:sz w:val="21"/>
                <w:szCs w:val="21"/>
              </w:rPr>
              <w:t>QMS:</w:t>
            </w:r>
          </w:p>
          <w:p>
            <w:pPr>
              <w:spacing w:line="360" w:lineRule="auto"/>
              <w:rPr>
                <w:rFonts w:ascii="宋体" w:hAnsi="宋体"/>
                <w:b/>
                <w:color w:val="000000" w:themeColor="text1"/>
                <w:sz w:val="21"/>
                <w:szCs w:val="21"/>
                <w:u w:val="single"/>
                <w:lang w:val="en-GB"/>
              </w:rPr>
            </w:pPr>
            <w:r>
              <w:rPr>
                <w:rFonts w:hint="eastAsia" w:ascii="宋体" w:hAnsi="宋体"/>
                <w:b/>
                <w:color w:val="000000" w:themeColor="text1"/>
                <w:sz w:val="21"/>
                <w:szCs w:val="21"/>
              </w:rPr>
              <w:t>EMS</w:t>
            </w:r>
            <w:r>
              <w:rPr>
                <w:rFonts w:hint="eastAsia" w:ascii="宋体" w:hAnsi="宋体"/>
                <w:b/>
                <w:color w:val="000000" w:themeColor="text1"/>
                <w:sz w:val="21"/>
                <w:szCs w:val="21"/>
                <w:lang w:val="en-GB"/>
              </w:rPr>
              <w:t>:</w:t>
            </w:r>
          </w:p>
          <w:p>
            <w:pPr>
              <w:spacing w:line="360" w:lineRule="auto"/>
              <w:rPr>
                <w:b/>
                <w:color w:val="000000" w:themeColor="text1"/>
                <w:spacing w:val="-10"/>
                <w:sz w:val="21"/>
                <w:szCs w:val="21"/>
              </w:rPr>
            </w:pPr>
            <w:r>
              <w:rPr>
                <w:rFonts w:hint="eastAsia" w:ascii="宋体" w:hAnsi="宋体"/>
                <w:b/>
                <w:color w:val="000000" w:themeColor="text1"/>
                <w:sz w:val="21"/>
                <w:szCs w:val="21"/>
              </w:rPr>
              <w:t>OHSMS</w:t>
            </w:r>
            <w:r>
              <w:rPr>
                <w:rFonts w:hint="eastAsia" w:ascii="宋体" w:hAnsi="宋体"/>
                <w:b/>
                <w:color w:val="000000" w:themeColor="text1"/>
                <w:sz w:val="21"/>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trPr>
        <w:tc>
          <w:tcPr>
            <w:tcW w:w="10080" w:type="dxa"/>
          </w:tcPr>
          <w:p>
            <w:pPr>
              <w:spacing w:line="360" w:lineRule="auto"/>
              <w:rPr>
                <w:b/>
                <w:color w:val="000000" w:themeColor="text1"/>
                <w:sz w:val="21"/>
                <w:szCs w:val="21"/>
              </w:rPr>
            </w:pPr>
            <w:r>
              <w:rPr>
                <w:rFonts w:hint="eastAsia"/>
                <w:b/>
                <w:color w:val="000000" w:themeColor="text1"/>
                <w:sz w:val="21"/>
                <w:szCs w:val="21"/>
              </w:rPr>
              <w:t>3. 审核组推荐意见：</w:t>
            </w:r>
          </w:p>
          <w:p>
            <w:pPr>
              <w:spacing w:line="360" w:lineRule="auto"/>
              <w:rPr>
                <w:b/>
                <w:color w:val="000000" w:themeColor="text1"/>
                <w:sz w:val="21"/>
                <w:szCs w:val="21"/>
              </w:rPr>
            </w:pPr>
            <w:r>
              <w:rPr>
                <w:rFonts w:hint="eastAsia"/>
                <w:b/>
                <w:color w:val="000000" w:themeColor="text1"/>
                <w:spacing w:val="-10"/>
                <w:sz w:val="21"/>
                <w:szCs w:val="21"/>
              </w:rPr>
              <w:sym w:font="Wingdings 2" w:char="0052"/>
            </w:r>
            <w:r>
              <w:rPr>
                <w:rFonts w:hint="eastAsia"/>
                <w:b/>
                <w:color w:val="000000" w:themeColor="text1"/>
                <w:sz w:val="21"/>
                <w:szCs w:val="21"/>
              </w:rPr>
              <w:t>推荐认证注册(</w:t>
            </w:r>
            <w:r>
              <w:rPr>
                <w:rFonts w:hint="eastAsia"/>
                <w:b/>
                <w:color w:val="000000" w:themeColor="text1"/>
                <w:spacing w:val="-10"/>
                <w:sz w:val="21"/>
                <w:szCs w:val="21"/>
              </w:rPr>
              <w:sym w:font="Wingdings 2" w:char="0052"/>
            </w:r>
            <w:r>
              <w:rPr>
                <w:rFonts w:hint="eastAsia"/>
                <w:b/>
                <w:color w:val="000000" w:themeColor="text1"/>
                <w:sz w:val="21"/>
                <w:szCs w:val="21"/>
              </w:rPr>
              <w:t xml:space="preserve">QMS  </w:t>
            </w:r>
            <w:r>
              <w:rPr>
                <w:rFonts w:hint="eastAsia"/>
                <w:b/>
                <w:color w:val="000000" w:themeColor="text1"/>
                <w:spacing w:val="-10"/>
                <w:sz w:val="21"/>
                <w:szCs w:val="21"/>
              </w:rPr>
              <w:t>□</w:t>
            </w:r>
            <w:r>
              <w:rPr>
                <w:rFonts w:hint="eastAsia"/>
                <w:b/>
                <w:color w:val="000000" w:themeColor="text1"/>
                <w:sz w:val="21"/>
                <w:szCs w:val="21"/>
              </w:rPr>
              <w:t xml:space="preserve">EMS   </w:t>
            </w:r>
            <w:r>
              <w:rPr>
                <w:rFonts w:hint="eastAsia"/>
                <w:b/>
                <w:color w:val="000000" w:themeColor="text1"/>
                <w:spacing w:val="-10"/>
                <w:sz w:val="21"/>
                <w:szCs w:val="21"/>
              </w:rPr>
              <w:t>□</w:t>
            </w:r>
            <w:r>
              <w:rPr>
                <w:rFonts w:hint="eastAsia"/>
                <w:b/>
                <w:color w:val="000000" w:themeColor="text1"/>
                <w:sz w:val="21"/>
                <w:szCs w:val="21"/>
              </w:rPr>
              <w:t>OHSMS)</w:t>
            </w:r>
          </w:p>
          <w:p>
            <w:pPr>
              <w:spacing w:line="360" w:lineRule="auto"/>
              <w:rPr>
                <w:b/>
                <w:color w:val="000000" w:themeColor="text1"/>
                <w:spacing w:val="-10"/>
                <w:sz w:val="21"/>
                <w:szCs w:val="21"/>
              </w:rPr>
            </w:pPr>
            <w:r>
              <w:rPr>
                <w:rFonts w:hint="eastAsia"/>
                <w:b/>
                <w:color w:val="000000" w:themeColor="text1"/>
                <w:spacing w:val="-10"/>
                <w:sz w:val="21"/>
                <w:szCs w:val="21"/>
              </w:rPr>
              <w:t>□</w:t>
            </w:r>
            <w:r>
              <w:rPr>
                <w:rFonts w:hint="eastAsia"/>
                <w:b/>
                <w:color w:val="000000" w:themeColor="text1"/>
                <w:spacing w:val="-4"/>
                <w:sz w:val="21"/>
                <w:szCs w:val="21"/>
              </w:rPr>
              <w:t>在完成纠正措施后</w:t>
            </w:r>
            <w:r>
              <w:rPr>
                <w:rFonts w:hint="eastAsia"/>
                <w:b/>
                <w:color w:val="000000" w:themeColor="text1"/>
                <w:sz w:val="21"/>
                <w:szCs w:val="21"/>
              </w:rPr>
              <w:t>推荐认证注册(</w:t>
            </w:r>
            <w:r>
              <w:rPr>
                <w:rFonts w:hint="eastAsia"/>
                <w:b/>
                <w:color w:val="000000" w:themeColor="text1"/>
                <w:spacing w:val="-10"/>
                <w:sz w:val="21"/>
                <w:szCs w:val="21"/>
              </w:rPr>
              <w:t>□</w:t>
            </w:r>
            <w:r>
              <w:rPr>
                <w:rFonts w:hint="eastAsia"/>
                <w:b/>
                <w:color w:val="000000" w:themeColor="text1"/>
                <w:sz w:val="21"/>
                <w:szCs w:val="21"/>
              </w:rPr>
              <w:t xml:space="preserve">QMS  </w:t>
            </w:r>
            <w:r>
              <w:rPr>
                <w:rFonts w:hint="eastAsia"/>
                <w:b/>
                <w:color w:val="000000" w:themeColor="text1"/>
                <w:spacing w:val="-10"/>
                <w:sz w:val="21"/>
                <w:szCs w:val="21"/>
              </w:rPr>
              <w:t>□</w:t>
            </w:r>
            <w:r>
              <w:rPr>
                <w:rFonts w:hint="eastAsia"/>
                <w:b/>
                <w:color w:val="000000" w:themeColor="text1"/>
                <w:sz w:val="21"/>
                <w:szCs w:val="21"/>
              </w:rPr>
              <w:t xml:space="preserve">EMS   </w:t>
            </w:r>
            <w:r>
              <w:rPr>
                <w:rFonts w:hint="eastAsia"/>
                <w:b/>
                <w:color w:val="000000" w:themeColor="text1"/>
                <w:spacing w:val="-10"/>
                <w:sz w:val="21"/>
                <w:szCs w:val="21"/>
              </w:rPr>
              <w:t>□</w:t>
            </w:r>
            <w:r>
              <w:rPr>
                <w:rFonts w:hint="eastAsia"/>
                <w:b/>
                <w:color w:val="000000" w:themeColor="text1"/>
                <w:sz w:val="21"/>
                <w:szCs w:val="21"/>
              </w:rPr>
              <w:t>OHSMS)</w:t>
            </w:r>
          </w:p>
          <w:p>
            <w:pPr>
              <w:spacing w:line="360" w:lineRule="auto"/>
              <w:rPr>
                <w:b/>
                <w:color w:val="000000" w:themeColor="text1"/>
                <w:spacing w:val="-4"/>
                <w:sz w:val="21"/>
                <w:szCs w:val="21"/>
              </w:rPr>
            </w:pPr>
            <w:r>
              <w:rPr>
                <w:rFonts w:hint="eastAsia"/>
                <w:b/>
                <w:color w:val="000000" w:themeColor="text1"/>
                <w:spacing w:val="-10"/>
                <w:sz w:val="21"/>
                <w:szCs w:val="21"/>
              </w:rPr>
              <w:t>□</w:t>
            </w:r>
            <w:r>
              <w:rPr>
                <w:rFonts w:hint="eastAsia"/>
                <w:b/>
                <w:color w:val="000000" w:themeColor="text1"/>
                <w:sz w:val="21"/>
                <w:szCs w:val="21"/>
              </w:rPr>
              <w:t>推荐保持认证注册(</w:t>
            </w:r>
            <w:r>
              <w:rPr>
                <w:rFonts w:hint="eastAsia"/>
                <w:b/>
                <w:color w:val="000000" w:themeColor="text1"/>
                <w:spacing w:val="-10"/>
                <w:sz w:val="21"/>
                <w:szCs w:val="21"/>
              </w:rPr>
              <w:t>□</w:t>
            </w:r>
            <w:r>
              <w:rPr>
                <w:rFonts w:hint="eastAsia"/>
                <w:b/>
                <w:color w:val="000000" w:themeColor="text1"/>
                <w:sz w:val="21"/>
                <w:szCs w:val="21"/>
              </w:rPr>
              <w:t xml:space="preserve">QMS  </w:t>
            </w:r>
            <w:r>
              <w:rPr>
                <w:rFonts w:hint="eastAsia"/>
                <w:b/>
                <w:color w:val="000000" w:themeColor="text1"/>
                <w:spacing w:val="-10"/>
                <w:sz w:val="21"/>
                <w:szCs w:val="21"/>
              </w:rPr>
              <w:t>□</w:t>
            </w:r>
            <w:r>
              <w:rPr>
                <w:rFonts w:hint="eastAsia"/>
                <w:b/>
                <w:color w:val="000000" w:themeColor="text1"/>
                <w:sz w:val="21"/>
                <w:szCs w:val="21"/>
              </w:rPr>
              <w:t xml:space="preserve">EMS   </w:t>
            </w:r>
            <w:r>
              <w:rPr>
                <w:rFonts w:hint="eastAsia"/>
                <w:b/>
                <w:color w:val="000000" w:themeColor="text1"/>
                <w:spacing w:val="-10"/>
                <w:sz w:val="21"/>
                <w:szCs w:val="21"/>
              </w:rPr>
              <w:t>□</w:t>
            </w:r>
            <w:r>
              <w:rPr>
                <w:rFonts w:hint="eastAsia"/>
                <w:b/>
                <w:color w:val="000000" w:themeColor="text1"/>
                <w:sz w:val="21"/>
                <w:szCs w:val="21"/>
              </w:rPr>
              <w:t>OHSMS)</w:t>
            </w:r>
          </w:p>
          <w:p>
            <w:pPr>
              <w:spacing w:line="360" w:lineRule="auto"/>
              <w:rPr>
                <w:b/>
                <w:color w:val="000000" w:themeColor="text1"/>
                <w:spacing w:val="-4"/>
                <w:sz w:val="21"/>
                <w:szCs w:val="21"/>
              </w:rPr>
            </w:pPr>
            <w:r>
              <w:rPr>
                <w:rFonts w:hint="eastAsia"/>
                <w:b/>
                <w:color w:val="000000" w:themeColor="text1"/>
                <w:spacing w:val="-10"/>
                <w:sz w:val="21"/>
                <w:szCs w:val="21"/>
              </w:rPr>
              <w:t>□</w:t>
            </w:r>
            <w:r>
              <w:rPr>
                <w:rFonts w:hint="eastAsia"/>
                <w:b/>
                <w:color w:val="000000" w:themeColor="text1"/>
                <w:spacing w:val="-4"/>
                <w:sz w:val="21"/>
                <w:szCs w:val="21"/>
              </w:rPr>
              <w:t>(在完成纠正措施后</w:t>
            </w:r>
            <w:r>
              <w:rPr>
                <w:rFonts w:hint="eastAsia"/>
                <w:b/>
                <w:color w:val="000000" w:themeColor="text1"/>
                <w:sz w:val="21"/>
                <w:szCs w:val="21"/>
              </w:rPr>
              <w:t>推荐保持认证注册(</w:t>
            </w:r>
            <w:r>
              <w:rPr>
                <w:rFonts w:hint="eastAsia"/>
                <w:b/>
                <w:color w:val="000000" w:themeColor="text1"/>
                <w:spacing w:val="-10"/>
                <w:sz w:val="21"/>
                <w:szCs w:val="21"/>
              </w:rPr>
              <w:t>□</w:t>
            </w:r>
            <w:r>
              <w:rPr>
                <w:rFonts w:hint="eastAsia"/>
                <w:b/>
                <w:color w:val="000000" w:themeColor="text1"/>
                <w:sz w:val="21"/>
                <w:szCs w:val="21"/>
              </w:rPr>
              <w:t xml:space="preserve">QMS   </w:t>
            </w:r>
            <w:r>
              <w:rPr>
                <w:rFonts w:hint="eastAsia"/>
                <w:b/>
                <w:color w:val="000000" w:themeColor="text1"/>
                <w:spacing w:val="-10"/>
                <w:sz w:val="21"/>
                <w:szCs w:val="21"/>
              </w:rPr>
              <w:t>□</w:t>
            </w:r>
            <w:r>
              <w:rPr>
                <w:rFonts w:hint="eastAsia"/>
                <w:b/>
                <w:color w:val="000000" w:themeColor="text1"/>
                <w:sz w:val="21"/>
                <w:szCs w:val="21"/>
              </w:rPr>
              <w:t xml:space="preserve">EMS   </w:t>
            </w:r>
            <w:r>
              <w:rPr>
                <w:rFonts w:hint="eastAsia"/>
                <w:b/>
                <w:color w:val="000000" w:themeColor="text1"/>
                <w:spacing w:val="-10"/>
                <w:sz w:val="21"/>
                <w:szCs w:val="21"/>
              </w:rPr>
              <w:t>□</w:t>
            </w:r>
            <w:r>
              <w:rPr>
                <w:rFonts w:hint="eastAsia"/>
                <w:b/>
                <w:color w:val="000000" w:themeColor="text1"/>
                <w:sz w:val="21"/>
                <w:szCs w:val="21"/>
              </w:rPr>
              <w:t>OHSMS)</w:t>
            </w:r>
          </w:p>
          <w:p>
            <w:pPr>
              <w:spacing w:line="360" w:lineRule="auto"/>
              <w:rPr>
                <w:b/>
                <w:color w:val="000000" w:themeColor="text1"/>
                <w:spacing w:val="-4"/>
                <w:sz w:val="21"/>
                <w:szCs w:val="21"/>
              </w:rPr>
            </w:pPr>
            <w:r>
              <w:rPr>
                <w:rFonts w:hint="eastAsia"/>
                <w:b/>
                <w:color w:val="000000" w:themeColor="text1"/>
                <w:spacing w:val="-10"/>
                <w:sz w:val="21"/>
                <w:szCs w:val="21"/>
              </w:rPr>
              <w:t>□</w:t>
            </w:r>
            <w:r>
              <w:rPr>
                <w:rFonts w:hint="eastAsia"/>
                <w:b/>
                <w:color w:val="000000" w:themeColor="text1"/>
                <w:sz w:val="21"/>
                <w:szCs w:val="21"/>
              </w:rPr>
              <w:t>推荐扩大范围(</w:t>
            </w:r>
            <w:r>
              <w:rPr>
                <w:rFonts w:hint="eastAsia"/>
                <w:b/>
                <w:color w:val="000000" w:themeColor="text1"/>
                <w:spacing w:val="-10"/>
                <w:sz w:val="21"/>
                <w:szCs w:val="21"/>
              </w:rPr>
              <w:t>□</w:t>
            </w:r>
            <w:r>
              <w:rPr>
                <w:rFonts w:hint="eastAsia"/>
                <w:b/>
                <w:color w:val="000000" w:themeColor="text1"/>
                <w:sz w:val="21"/>
                <w:szCs w:val="21"/>
              </w:rPr>
              <w:t xml:space="preserve">QMS  </w:t>
            </w:r>
            <w:r>
              <w:rPr>
                <w:rFonts w:hint="eastAsia"/>
                <w:b/>
                <w:color w:val="000000" w:themeColor="text1"/>
                <w:spacing w:val="-10"/>
                <w:sz w:val="21"/>
                <w:szCs w:val="21"/>
              </w:rPr>
              <w:t>□</w:t>
            </w:r>
            <w:r>
              <w:rPr>
                <w:rFonts w:hint="eastAsia"/>
                <w:b/>
                <w:color w:val="000000" w:themeColor="text1"/>
                <w:sz w:val="21"/>
                <w:szCs w:val="21"/>
              </w:rPr>
              <w:t xml:space="preserve">EMS   </w:t>
            </w:r>
            <w:r>
              <w:rPr>
                <w:rFonts w:hint="eastAsia"/>
                <w:b/>
                <w:color w:val="000000" w:themeColor="text1"/>
                <w:spacing w:val="-10"/>
                <w:sz w:val="21"/>
                <w:szCs w:val="21"/>
              </w:rPr>
              <w:t>□</w:t>
            </w:r>
            <w:r>
              <w:rPr>
                <w:rFonts w:hint="eastAsia"/>
                <w:b/>
                <w:color w:val="000000" w:themeColor="text1"/>
                <w:sz w:val="21"/>
                <w:szCs w:val="21"/>
              </w:rPr>
              <w:t>OHSMS)</w:t>
            </w:r>
          </w:p>
          <w:p>
            <w:pPr>
              <w:spacing w:line="360" w:lineRule="auto"/>
              <w:rPr>
                <w:b/>
                <w:color w:val="000000" w:themeColor="text1"/>
                <w:sz w:val="21"/>
                <w:szCs w:val="21"/>
              </w:rPr>
            </w:pPr>
            <w:r>
              <w:rPr>
                <w:rFonts w:hint="eastAsia"/>
                <w:b/>
                <w:color w:val="000000" w:themeColor="text1"/>
                <w:spacing w:val="-10"/>
                <w:sz w:val="21"/>
                <w:szCs w:val="21"/>
              </w:rPr>
              <w:t>□</w:t>
            </w:r>
            <w:r>
              <w:rPr>
                <w:rFonts w:hint="eastAsia"/>
                <w:b/>
                <w:color w:val="000000" w:themeColor="text1"/>
                <w:spacing w:val="-4"/>
                <w:sz w:val="21"/>
                <w:szCs w:val="21"/>
              </w:rPr>
              <w:t>在完成纠正措施后</w:t>
            </w:r>
            <w:r>
              <w:rPr>
                <w:rFonts w:hint="eastAsia"/>
                <w:b/>
                <w:color w:val="000000" w:themeColor="text1"/>
                <w:sz w:val="21"/>
                <w:szCs w:val="21"/>
              </w:rPr>
              <w:t>推荐扩大范围(</w:t>
            </w:r>
            <w:r>
              <w:rPr>
                <w:rFonts w:hint="eastAsia"/>
                <w:b/>
                <w:color w:val="000000" w:themeColor="text1"/>
                <w:spacing w:val="-10"/>
                <w:sz w:val="21"/>
                <w:szCs w:val="21"/>
              </w:rPr>
              <w:t>□</w:t>
            </w:r>
            <w:r>
              <w:rPr>
                <w:rFonts w:hint="eastAsia"/>
                <w:b/>
                <w:color w:val="000000" w:themeColor="text1"/>
                <w:sz w:val="21"/>
                <w:szCs w:val="21"/>
              </w:rPr>
              <w:t xml:space="preserve">QMS   </w:t>
            </w:r>
            <w:r>
              <w:rPr>
                <w:rFonts w:hint="eastAsia"/>
                <w:b/>
                <w:color w:val="000000" w:themeColor="text1"/>
                <w:spacing w:val="-10"/>
                <w:sz w:val="21"/>
                <w:szCs w:val="21"/>
              </w:rPr>
              <w:t>□</w:t>
            </w:r>
            <w:r>
              <w:rPr>
                <w:rFonts w:hint="eastAsia"/>
                <w:b/>
                <w:color w:val="000000" w:themeColor="text1"/>
                <w:sz w:val="21"/>
                <w:szCs w:val="21"/>
              </w:rPr>
              <w:t xml:space="preserve">EMS   </w:t>
            </w:r>
            <w:r>
              <w:rPr>
                <w:rFonts w:hint="eastAsia"/>
                <w:b/>
                <w:color w:val="000000" w:themeColor="text1"/>
                <w:spacing w:val="-10"/>
                <w:sz w:val="21"/>
                <w:szCs w:val="21"/>
              </w:rPr>
              <w:t>□</w:t>
            </w:r>
            <w:r>
              <w:rPr>
                <w:rFonts w:hint="eastAsia"/>
                <w:b/>
                <w:color w:val="000000" w:themeColor="text1"/>
                <w:sz w:val="21"/>
                <w:szCs w:val="21"/>
              </w:rPr>
              <w:t>OHSMS)</w:t>
            </w:r>
          </w:p>
          <w:p>
            <w:pPr>
              <w:spacing w:line="360" w:lineRule="auto"/>
              <w:rPr>
                <w:b/>
                <w:color w:val="000000" w:themeColor="text1"/>
                <w:sz w:val="21"/>
                <w:szCs w:val="21"/>
              </w:rPr>
            </w:pPr>
            <w:r>
              <w:rPr>
                <w:rFonts w:hint="eastAsia"/>
                <w:b/>
                <w:color w:val="000000" w:themeColor="text1"/>
                <w:spacing w:val="-10"/>
                <w:sz w:val="21"/>
                <w:szCs w:val="21"/>
              </w:rPr>
              <w:t>□</w:t>
            </w:r>
            <w:r>
              <w:rPr>
                <w:rFonts w:hint="eastAsia"/>
                <w:b/>
                <w:color w:val="000000" w:themeColor="text1"/>
                <w:sz w:val="21"/>
                <w:szCs w:val="21"/>
              </w:rPr>
              <w:t>延期推荐注册(</w:t>
            </w:r>
            <w:r>
              <w:rPr>
                <w:rFonts w:hint="eastAsia"/>
                <w:b/>
                <w:color w:val="000000" w:themeColor="text1"/>
                <w:spacing w:val="-10"/>
                <w:sz w:val="21"/>
                <w:szCs w:val="21"/>
              </w:rPr>
              <w:t>□</w:t>
            </w:r>
            <w:r>
              <w:rPr>
                <w:rFonts w:hint="eastAsia"/>
                <w:b/>
                <w:color w:val="000000" w:themeColor="text1"/>
                <w:sz w:val="21"/>
                <w:szCs w:val="21"/>
              </w:rPr>
              <w:t xml:space="preserve">QMS   </w:t>
            </w:r>
            <w:r>
              <w:rPr>
                <w:rFonts w:hint="eastAsia"/>
                <w:b/>
                <w:color w:val="000000" w:themeColor="text1"/>
                <w:spacing w:val="-10"/>
                <w:sz w:val="21"/>
                <w:szCs w:val="21"/>
              </w:rPr>
              <w:t>□</w:t>
            </w:r>
            <w:r>
              <w:rPr>
                <w:rFonts w:hint="eastAsia"/>
                <w:b/>
                <w:color w:val="000000" w:themeColor="text1"/>
                <w:sz w:val="21"/>
                <w:szCs w:val="21"/>
              </w:rPr>
              <w:t xml:space="preserve">EMS   </w:t>
            </w:r>
            <w:r>
              <w:rPr>
                <w:rFonts w:hint="eastAsia"/>
                <w:b/>
                <w:color w:val="000000" w:themeColor="text1"/>
                <w:spacing w:val="-10"/>
                <w:sz w:val="21"/>
                <w:szCs w:val="21"/>
              </w:rPr>
              <w:t>□</w:t>
            </w:r>
            <w:r>
              <w:rPr>
                <w:rFonts w:hint="eastAsia"/>
                <w:b/>
                <w:color w:val="000000" w:themeColor="text1"/>
                <w:sz w:val="21"/>
                <w:szCs w:val="21"/>
              </w:rPr>
              <w:t>OHSMS)</w:t>
            </w:r>
          </w:p>
          <w:p>
            <w:pPr>
              <w:snapToGrid w:val="0"/>
              <w:spacing w:line="360" w:lineRule="auto"/>
              <w:rPr>
                <w:b/>
                <w:color w:val="000000" w:themeColor="text1"/>
                <w:sz w:val="21"/>
                <w:szCs w:val="21"/>
              </w:rPr>
            </w:pPr>
            <w:r>
              <w:rPr>
                <w:rFonts w:hint="eastAsia"/>
                <w:b/>
                <w:color w:val="000000" w:themeColor="text1"/>
                <w:spacing w:val="-10"/>
                <w:sz w:val="21"/>
                <w:szCs w:val="21"/>
              </w:rPr>
              <w:t>□</w:t>
            </w:r>
            <w:r>
              <w:rPr>
                <w:rFonts w:hint="eastAsia"/>
                <w:b/>
                <w:color w:val="000000" w:themeColor="text1"/>
                <w:sz w:val="21"/>
                <w:szCs w:val="21"/>
              </w:rPr>
              <w:t>不推荐认证注册(</w:t>
            </w:r>
            <w:r>
              <w:rPr>
                <w:rFonts w:hint="eastAsia"/>
                <w:b/>
                <w:color w:val="000000" w:themeColor="text1"/>
                <w:spacing w:val="-10"/>
                <w:sz w:val="21"/>
                <w:szCs w:val="21"/>
              </w:rPr>
              <w:t>□</w:t>
            </w:r>
            <w:r>
              <w:rPr>
                <w:rFonts w:hint="eastAsia"/>
                <w:b/>
                <w:color w:val="000000" w:themeColor="text1"/>
                <w:sz w:val="21"/>
                <w:szCs w:val="21"/>
              </w:rPr>
              <w:t xml:space="preserve">QMS  </w:t>
            </w:r>
            <w:r>
              <w:rPr>
                <w:rFonts w:hint="eastAsia"/>
                <w:b/>
                <w:color w:val="000000" w:themeColor="text1"/>
                <w:spacing w:val="-10"/>
                <w:sz w:val="21"/>
                <w:szCs w:val="21"/>
              </w:rPr>
              <w:t>□</w:t>
            </w:r>
            <w:r>
              <w:rPr>
                <w:rFonts w:hint="eastAsia"/>
                <w:b/>
                <w:color w:val="000000" w:themeColor="text1"/>
                <w:sz w:val="21"/>
                <w:szCs w:val="21"/>
              </w:rPr>
              <w:t xml:space="preserve">EMS   </w:t>
            </w:r>
            <w:r>
              <w:rPr>
                <w:rFonts w:hint="eastAsia"/>
                <w:b/>
                <w:color w:val="000000" w:themeColor="text1"/>
                <w:spacing w:val="-10"/>
                <w:sz w:val="21"/>
                <w:szCs w:val="21"/>
              </w:rPr>
              <w:t>□</w:t>
            </w:r>
            <w:r>
              <w:rPr>
                <w:rFonts w:hint="eastAsia"/>
                <w:b/>
                <w:color w:val="000000" w:themeColor="text1"/>
                <w:sz w:val="21"/>
                <w:szCs w:val="21"/>
              </w:rPr>
              <w:t>OHSMS)</w:t>
            </w:r>
          </w:p>
          <w:p>
            <w:pPr>
              <w:snapToGrid w:val="0"/>
              <w:spacing w:line="360" w:lineRule="auto"/>
              <w:rPr>
                <w:b/>
                <w:color w:val="000000" w:themeColor="text1"/>
                <w:spacing w:val="-10"/>
                <w:sz w:val="21"/>
                <w:szCs w:val="21"/>
              </w:rPr>
            </w:pPr>
            <w:r>
              <w:rPr>
                <w:rFonts w:hint="eastAsia"/>
                <w:b/>
                <w:color w:val="000000" w:themeColor="text1"/>
                <w:spacing w:val="-10"/>
                <w:sz w:val="21"/>
                <w:szCs w:val="21"/>
              </w:rPr>
              <w:t>□不推荐或缩小推荐范围的说明:</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sz w:val="21"/>
                <w:szCs w:val="2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 xml:space="preserve">  /  </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33" w:leftChars="-405" w:hanging="717" w:hangingChars="326"/>
        <w:rPr>
          <w:b/>
          <w:color w:val="000000" w:themeColor="text1"/>
          <w:sz w:val="16"/>
          <w:szCs w:val="16"/>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1499870</wp:posOffset>
            </wp:positionH>
            <wp:positionV relativeFrom="paragraph">
              <wp:posOffset>243840</wp:posOffset>
            </wp:positionV>
            <wp:extent cx="864870" cy="521335"/>
            <wp:effectExtent l="0" t="0" r="11430" b="12065"/>
            <wp:wrapNone/>
            <wp:docPr id="3" name="图片 3"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褚敏杰"/>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864870" cy="521335"/>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3" w:leftChars="-32" w:hanging="54" w:hangingChars="26"/>
        <w:rPr>
          <w:b/>
          <w:color w:val="000000" w:themeColor="text1"/>
          <w:sz w:val="26"/>
          <w:szCs w:val="26"/>
        </w:rPr>
      </w:pPr>
      <w:r>
        <w:rPr>
          <w:rFonts w:hint="eastAsia" w:eastAsia="宋体"/>
          <w:sz w:val="21"/>
          <w:szCs w:val="21"/>
          <w:lang w:eastAsia="zh-CN"/>
        </w:rPr>
        <w:drawing>
          <wp:anchor distT="0" distB="0" distL="114300" distR="114300" simplePos="0" relativeHeight="251663360" behindDoc="0" locked="0" layoutInCell="1" allowOverlap="1">
            <wp:simplePos x="0" y="0"/>
            <wp:positionH relativeFrom="column">
              <wp:posOffset>2721610</wp:posOffset>
            </wp:positionH>
            <wp:positionV relativeFrom="paragraph">
              <wp:posOffset>384810</wp:posOffset>
            </wp:positionV>
            <wp:extent cx="1124585" cy="565785"/>
            <wp:effectExtent l="0" t="0" r="18415" b="5715"/>
            <wp:wrapNone/>
            <wp:docPr id="4" name="图片 4" descr="肖兴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肖兴丽"/>
                    <pic:cNvPicPr>
                      <a:picLocks noChangeAspect="1"/>
                    </pic:cNvPicPr>
                  </pic:nvPicPr>
                  <pic:blipFill>
                    <a:blip r:embed="rId7">
                      <a:clrChange>
                        <a:clrFrom>
                          <a:srgbClr val="FFFFFF">
                            <a:alpha val="100000"/>
                          </a:srgbClr>
                        </a:clrFrom>
                        <a:clrTo>
                          <a:srgbClr val="FFFFFF">
                            <a:alpha val="100000"/>
                            <a:alpha val="0"/>
                          </a:srgbClr>
                        </a:clrTo>
                      </a:clrChange>
                    </a:blip>
                    <a:stretch>
                      <a:fillRect/>
                    </a:stretch>
                  </pic:blipFill>
                  <pic:spPr>
                    <a:xfrm>
                      <a:off x="0" y="0"/>
                      <a:ext cx="1124585" cy="565785"/>
                    </a:xfrm>
                    <a:prstGeom prst="rect">
                      <a:avLst/>
                    </a:prstGeom>
                  </pic:spPr>
                </pic:pic>
              </a:graphicData>
            </a:graphic>
          </wp:anchor>
        </w:drawing>
      </w: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1633855</wp:posOffset>
            </wp:positionH>
            <wp:positionV relativeFrom="paragraph">
              <wp:posOffset>109855</wp:posOffset>
            </wp:positionV>
            <wp:extent cx="931545" cy="349885"/>
            <wp:effectExtent l="0" t="0" r="1905" b="12065"/>
            <wp:wrapNone/>
            <wp:docPr id="5" name="图片 5" descr="王景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王景玲"/>
                    <pic:cNvPicPr>
                      <a:picLocks noChangeAspect="1"/>
                    </pic:cNvPicPr>
                  </pic:nvPicPr>
                  <pic:blipFill>
                    <a:blip r:embed="rId8">
                      <a:clrChange>
                        <a:clrFrom>
                          <a:srgbClr val="9D9996">
                            <a:alpha val="100000"/>
                          </a:srgbClr>
                        </a:clrFrom>
                        <a:clrTo>
                          <a:srgbClr val="9D9996">
                            <a:alpha val="100000"/>
                            <a:alpha val="0"/>
                          </a:srgbClr>
                        </a:clrTo>
                      </a:clrChange>
                      <a:lum bright="30000"/>
                    </a:blip>
                    <a:stretch>
                      <a:fillRect/>
                    </a:stretch>
                  </pic:blipFill>
                  <pic:spPr>
                    <a:xfrm>
                      <a:off x="0" y="0"/>
                      <a:ext cx="931545" cy="349885"/>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28</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pStyle w:val="2"/>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eastAsia"/>
          <w:b/>
          <w:color w:val="000000" w:themeColor="text1"/>
          <w:szCs w:val="21"/>
        </w:rPr>
      </w:pPr>
      <w:r>
        <w:rPr>
          <w:rFonts w:hint="eastAsia" w:eastAsia="宋体"/>
          <w:sz w:val="22"/>
          <w:szCs w:val="22"/>
          <w:lang w:eastAsia="zh-CN"/>
        </w:rPr>
        <w:drawing>
          <wp:anchor distT="0" distB="0" distL="114300" distR="114300" simplePos="0" relativeHeight="251666432" behindDoc="0" locked="0" layoutInCell="1" allowOverlap="1">
            <wp:simplePos x="0" y="0"/>
            <wp:positionH relativeFrom="column">
              <wp:posOffset>642620</wp:posOffset>
            </wp:positionH>
            <wp:positionV relativeFrom="paragraph">
              <wp:posOffset>85725</wp:posOffset>
            </wp:positionV>
            <wp:extent cx="864870" cy="521335"/>
            <wp:effectExtent l="0" t="0" r="11430" b="12065"/>
            <wp:wrapNone/>
            <wp:docPr id="6" name="图片 6"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签名-褚敏杰"/>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864870" cy="521335"/>
                    </a:xfrm>
                    <a:prstGeom prst="rect">
                      <a:avLst/>
                    </a:prstGeom>
                  </pic:spPr>
                </pic:pic>
              </a:graphicData>
            </a:graphic>
          </wp:anchor>
        </w:drawing>
      </w:r>
      <w:r>
        <w:rPr>
          <w:rFonts w:hint="eastAsia"/>
          <w:b/>
          <w:color w:val="000000" w:themeColor="text1"/>
          <w:szCs w:val="21"/>
        </w:rPr>
        <w:t>组长签字:                               日期:</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6</w:t>
      </w:r>
      <w:r>
        <w:rPr>
          <w:rFonts w:hint="eastAsia"/>
          <w:b/>
          <w:color w:val="000000" w:themeColor="text1"/>
          <w:szCs w:val="21"/>
        </w:rPr>
        <w:t>月</w:t>
      </w:r>
      <w:r>
        <w:rPr>
          <w:rFonts w:hint="eastAsia"/>
          <w:b/>
          <w:color w:val="000000" w:themeColor="text1"/>
          <w:szCs w:val="21"/>
          <w:lang w:val="en-US" w:eastAsia="zh-CN"/>
        </w:rPr>
        <w:t>28</w:t>
      </w:r>
      <w:r>
        <w:rPr>
          <w:rFonts w:hint="eastAsia"/>
          <w:b/>
          <w:color w:val="000000" w:themeColor="text1"/>
          <w:szCs w:val="21"/>
        </w:rPr>
        <w:t>日</w:t>
      </w:r>
    </w:p>
    <w:p>
      <w:pPr>
        <w:pStyle w:val="2"/>
      </w:pP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hint="eastAsia"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pStyle w:val="2"/>
      </w:pP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CA0072C"/>
    <w:rsid w:val="43FC4CBF"/>
    <w:rsid w:val="44E434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keepNext/>
      <w:jc w:val="center"/>
      <w:outlineLvl w:val="1"/>
    </w:pPr>
    <w:rPr>
      <w:rFonts w:ascii="宋体" w:hAnsi="宋体"/>
      <w:b/>
      <w:sz w:val="5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uiPriority w:val="99"/>
    <w:rPr>
      <w:rFonts w:ascii="Times New Roman" w:hAnsi="Times New Roman" w:eastAsia="宋体" w:cs="Times New Roman"/>
      <w:sz w:val="18"/>
      <w:szCs w:val="18"/>
    </w:rPr>
  </w:style>
  <w:style w:type="character" w:customStyle="1" w:styleId="14">
    <w:name w:val="页脚 Char"/>
    <w:basedOn w:val="10"/>
    <w:link w:val="5"/>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13</TotalTime>
  <ScaleCrop>false</ScaleCrop>
  <LinksUpToDate>false</LinksUpToDate>
  <CharactersWithSpaces>5057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lenovo1018</cp:lastModifiedBy>
  <cp:lastPrinted>2019-05-13T03:19:00Z</cp:lastPrinted>
  <dcterms:modified xsi:type="dcterms:W3CDTF">2021-06-29T02:48:55Z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