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宋体"/>
          <w:bCs/>
          <w:color w:val="000000"/>
          <w:sz w:val="36"/>
          <w:szCs w:val="36"/>
        </w:rPr>
      </w:pPr>
      <w:r>
        <w:rPr>
          <w:rFonts w:hint="eastAsia" w:ascii="宋体" w:hAnsi="宋体"/>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9"/>
        <w:gridCol w:w="1292"/>
        <w:gridCol w:w="10344"/>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19" w:type="dxa"/>
            <w:vMerge w:val="restart"/>
            <w:vAlign w:val="center"/>
          </w:tcPr>
          <w:p>
            <w:pPr>
              <w:spacing w:before="120"/>
              <w:jc w:val="center"/>
              <w:rPr>
                <w:rFonts w:hint="default" w:ascii="Times New Roman" w:hAnsi="Times New Roman" w:cs="Times New Roman"/>
                <w:sz w:val="24"/>
                <w:szCs w:val="24"/>
              </w:rPr>
            </w:pPr>
            <w:r>
              <w:rPr>
                <w:rFonts w:hint="default" w:ascii="Times New Roman" w:hAnsi="Times New Roman" w:cs="Times New Roman"/>
                <w:sz w:val="24"/>
                <w:szCs w:val="24"/>
              </w:rPr>
              <w:t>过程与活动、</w:t>
            </w:r>
          </w:p>
          <w:p>
            <w:pPr>
              <w:jc w:val="center"/>
              <w:rPr>
                <w:rFonts w:hint="default" w:ascii="Times New Roman" w:hAnsi="Times New Roman" w:cs="Times New Roman"/>
                <w:sz w:val="24"/>
                <w:szCs w:val="24"/>
              </w:rPr>
            </w:pPr>
            <w:r>
              <w:rPr>
                <w:rFonts w:hint="default" w:ascii="Times New Roman" w:hAnsi="Times New Roman" w:cs="Times New Roman"/>
                <w:sz w:val="24"/>
                <w:szCs w:val="24"/>
              </w:rPr>
              <w:t>抽样计划</w:t>
            </w:r>
          </w:p>
        </w:tc>
        <w:tc>
          <w:tcPr>
            <w:tcW w:w="1292" w:type="dxa"/>
            <w:vMerge w:val="restart"/>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涉及条款</w:t>
            </w:r>
          </w:p>
        </w:tc>
        <w:tc>
          <w:tcPr>
            <w:tcW w:w="10344" w:type="dxa"/>
            <w:vAlign w:val="center"/>
          </w:tcPr>
          <w:p>
            <w:pPr>
              <w:rPr>
                <w:rFonts w:hint="eastAsia" w:ascii="Times New Roman" w:hAnsi="Times New Roman" w:eastAsia="宋体" w:cs="Times New Roman"/>
                <w:sz w:val="24"/>
                <w:szCs w:val="24"/>
                <w:lang w:val="en-US" w:eastAsia="zh-CN"/>
              </w:rPr>
            </w:pPr>
            <w:r>
              <w:rPr>
                <w:rFonts w:hint="default" w:ascii="Times New Roman" w:hAnsi="Times New Roman" w:cs="Times New Roman"/>
                <w:sz w:val="24"/>
                <w:szCs w:val="24"/>
              </w:rPr>
              <w:t xml:space="preserve">受审核部门：管理层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 </w:t>
            </w:r>
            <w:r>
              <w:rPr>
                <w:rFonts w:hint="eastAsia" w:cs="Times New Roman"/>
                <w:sz w:val="24"/>
                <w:szCs w:val="24"/>
                <w:lang w:val="en-US" w:eastAsia="zh-CN"/>
              </w:rPr>
              <w:t xml:space="preserve">             </w:t>
            </w:r>
            <w:r>
              <w:rPr>
                <w:rFonts w:hint="default" w:ascii="Times New Roman" w:hAnsi="Times New Roman" w:cs="Times New Roman"/>
                <w:sz w:val="24"/>
                <w:szCs w:val="24"/>
              </w:rPr>
              <w:t>主管领导</w:t>
            </w:r>
            <w:r>
              <w:rPr>
                <w:rFonts w:hint="eastAsia" w:cs="Times New Roman"/>
                <w:sz w:val="24"/>
                <w:szCs w:val="24"/>
                <w:lang w:val="en-US" w:eastAsia="zh-CN"/>
              </w:rPr>
              <w:t xml:space="preserve">  </w:t>
            </w:r>
            <w:r>
              <w:rPr>
                <w:rFonts w:hint="eastAsia"/>
                <w:color w:val="auto"/>
                <w:sz w:val="24"/>
                <w:szCs w:val="24"/>
                <w:lang w:val="en-US" w:eastAsia="zh-CN"/>
              </w:rPr>
              <w:t>肖欣戈</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陪同人员：</w:t>
            </w:r>
            <w:r>
              <w:rPr>
                <w:rFonts w:hint="eastAsia" w:cs="Times New Roman"/>
                <w:sz w:val="24"/>
                <w:szCs w:val="24"/>
                <w:lang w:eastAsia="zh-CN"/>
              </w:rPr>
              <w:t>何小丽</w:t>
            </w:r>
          </w:p>
        </w:tc>
        <w:tc>
          <w:tcPr>
            <w:tcW w:w="1054" w:type="dxa"/>
            <w:vMerge w:val="restart"/>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19" w:type="dxa"/>
            <w:vMerge w:val="continue"/>
            <w:vAlign w:val="center"/>
          </w:tcPr>
          <w:p>
            <w:pPr>
              <w:rPr>
                <w:rFonts w:hint="default" w:ascii="Times New Roman" w:hAnsi="Times New Roman" w:cs="Times New Roman"/>
                <w:sz w:val="24"/>
                <w:szCs w:val="24"/>
              </w:rPr>
            </w:pPr>
          </w:p>
        </w:tc>
        <w:tc>
          <w:tcPr>
            <w:tcW w:w="1292" w:type="dxa"/>
            <w:vMerge w:val="continue"/>
            <w:vAlign w:val="center"/>
          </w:tcPr>
          <w:p>
            <w:pPr>
              <w:rPr>
                <w:rFonts w:hint="default" w:ascii="Times New Roman" w:hAnsi="Times New Roman" w:cs="Times New Roman"/>
                <w:sz w:val="24"/>
                <w:szCs w:val="24"/>
              </w:rPr>
            </w:pPr>
          </w:p>
        </w:tc>
        <w:tc>
          <w:tcPr>
            <w:tcW w:w="10344" w:type="dxa"/>
            <w:vAlign w:val="center"/>
          </w:tcPr>
          <w:p>
            <w:pPr>
              <w:spacing w:before="120"/>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rPr>
              <w:t>审核员：</w:t>
            </w:r>
            <w:r>
              <w:rPr>
                <w:rFonts w:hint="default" w:ascii="Times New Roman" w:hAnsi="Times New Roman" w:cs="Times New Roman"/>
                <w:sz w:val="24"/>
                <w:szCs w:val="24"/>
                <w:lang w:val="en-US" w:eastAsia="zh-CN"/>
              </w:rPr>
              <w:t xml:space="preserve">王景玲 </w:t>
            </w:r>
            <w:r>
              <w:rPr>
                <w:rFonts w:hint="eastAsia" w:cs="Times New Roman"/>
                <w:sz w:val="24"/>
                <w:szCs w:val="24"/>
                <w:lang w:val="en-US" w:eastAsia="zh-CN"/>
              </w:rPr>
              <w:t xml:space="preserve">                   </w:t>
            </w:r>
            <w:r>
              <w:rPr>
                <w:rFonts w:hint="default" w:ascii="Times New Roman" w:hAnsi="Times New Roman" w:cs="Times New Roman"/>
                <w:sz w:val="24"/>
                <w:szCs w:val="24"/>
              </w:rPr>
              <w:t>审核时间：202</w:t>
            </w:r>
            <w:r>
              <w:rPr>
                <w:rFonts w:hint="default" w:ascii="Times New Roman" w:hAnsi="Times New Roman" w:cs="Times New Roman"/>
                <w:sz w:val="24"/>
                <w:szCs w:val="24"/>
                <w:lang w:val="en-US" w:eastAsia="zh-CN"/>
              </w:rPr>
              <w:t>1</w:t>
            </w:r>
            <w:r>
              <w:rPr>
                <w:rFonts w:hint="default" w:ascii="Times New Roman" w:hAnsi="Times New Roman" w:cs="Times New Roman"/>
                <w:sz w:val="24"/>
                <w:szCs w:val="24"/>
              </w:rPr>
              <w:t>.</w:t>
            </w:r>
            <w:r>
              <w:rPr>
                <w:rFonts w:hint="eastAsia" w:cs="Times New Roman"/>
                <w:sz w:val="24"/>
                <w:szCs w:val="24"/>
                <w:lang w:val="en-US" w:eastAsia="zh-CN"/>
              </w:rPr>
              <w:t>6</w:t>
            </w:r>
            <w:r>
              <w:rPr>
                <w:rFonts w:hint="default" w:ascii="Times New Roman" w:hAnsi="Times New Roman" w:cs="Times New Roman"/>
                <w:sz w:val="24"/>
                <w:szCs w:val="24"/>
              </w:rPr>
              <w:t>.</w:t>
            </w:r>
            <w:r>
              <w:rPr>
                <w:rFonts w:hint="eastAsia" w:cs="Times New Roman"/>
                <w:sz w:val="24"/>
                <w:szCs w:val="24"/>
                <w:lang w:val="en-US" w:eastAsia="zh-CN"/>
              </w:rPr>
              <w:t>26</w:t>
            </w:r>
          </w:p>
        </w:tc>
        <w:tc>
          <w:tcPr>
            <w:tcW w:w="1054" w:type="dxa"/>
            <w:vMerge w:val="continue"/>
          </w:tcPr>
          <w:p>
            <w:pP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19" w:type="dxa"/>
            <w:vMerge w:val="continue"/>
            <w:vAlign w:val="center"/>
          </w:tcPr>
          <w:p>
            <w:pPr>
              <w:rPr>
                <w:rFonts w:hint="default" w:ascii="Times New Roman" w:hAnsi="Times New Roman" w:cs="Times New Roman"/>
                <w:sz w:val="24"/>
                <w:szCs w:val="24"/>
              </w:rPr>
            </w:pPr>
          </w:p>
        </w:tc>
        <w:tc>
          <w:tcPr>
            <w:tcW w:w="1292" w:type="dxa"/>
            <w:vMerge w:val="continue"/>
            <w:vAlign w:val="center"/>
          </w:tcPr>
          <w:p>
            <w:pPr>
              <w:rPr>
                <w:rFonts w:hint="default" w:ascii="Times New Roman" w:hAnsi="Times New Roman" w:cs="Times New Roman"/>
                <w:sz w:val="24"/>
                <w:szCs w:val="24"/>
              </w:rPr>
            </w:pPr>
          </w:p>
        </w:tc>
        <w:tc>
          <w:tcPr>
            <w:tcW w:w="10344" w:type="dxa"/>
            <w:vAlign w:val="center"/>
          </w:tcPr>
          <w:p>
            <w:pPr>
              <w:adjustRightInd w:val="0"/>
              <w:snapToGrid w:val="0"/>
              <w:spacing w:line="360" w:lineRule="auto"/>
              <w:ind w:right="105" w:rightChars="50"/>
              <w:textAlignment w:val="baseline"/>
              <w:rPr>
                <w:rFonts w:hint="eastAsia" w:ascii="宋体" w:hAnsi="宋体" w:cs="Arial"/>
                <w:spacing w:val="-6"/>
                <w:sz w:val="21"/>
                <w:szCs w:val="21"/>
              </w:rPr>
            </w:pPr>
            <w:r>
              <w:rPr>
                <w:rFonts w:hint="default" w:ascii="Times New Roman" w:hAnsi="Times New Roman" w:cs="Times New Roman"/>
                <w:sz w:val="24"/>
                <w:szCs w:val="24"/>
              </w:rPr>
              <w:t>审核条款：</w:t>
            </w:r>
            <w:r>
              <w:rPr>
                <w:rFonts w:hint="eastAsia" w:ascii="宋体" w:hAnsi="宋体" w:cs="Arial"/>
                <w:spacing w:val="-6"/>
                <w:sz w:val="21"/>
                <w:szCs w:val="21"/>
              </w:rPr>
              <w:t>Q:4.1理解组织及其环境、4.2理解相关方的需求和期望、4.3确定管理体系的范围、4.4质量管理体系及其过程、5.1领导作用和承诺、5.2方针、5.3组织的岗位、职责和权限、6.1应对风险和机遇的措施、6.2目标及其实现的策划、7.1.1资源总则、7.4沟通/信息交流、9.3管理评审、10.1改进、10.3持续改进</w:t>
            </w:r>
          </w:p>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rPr>
              <w:t>Q6.3变更的策划</w:t>
            </w:r>
            <w:r>
              <w:rPr>
                <w:rFonts w:hint="eastAsia" w:ascii="宋体" w:hAnsi="宋体" w:cs="Arial"/>
                <w:spacing w:val="-6"/>
                <w:sz w:val="21"/>
                <w:szCs w:val="21"/>
                <w:lang w:val="en-US" w:eastAsia="zh-CN"/>
              </w:rPr>
              <w:t>/</w:t>
            </w:r>
            <w:r>
              <w:rPr>
                <w:rFonts w:hint="eastAsia" w:ascii="宋体" w:hAnsi="宋体" w:cs="Arial"/>
                <w:spacing w:val="-6"/>
                <w:sz w:val="21"/>
                <w:szCs w:val="21"/>
              </w:rPr>
              <w:t>Q8.3删减合理性</w:t>
            </w:r>
          </w:p>
          <w:p>
            <w:pPr>
              <w:rPr>
                <w:rFonts w:hint="default" w:ascii="Times New Roman" w:hAnsi="Times New Roman" w:cs="Times New Roman"/>
                <w:sz w:val="24"/>
                <w:szCs w:val="24"/>
              </w:rPr>
            </w:pPr>
            <w:r>
              <w:rPr>
                <w:rFonts w:hint="eastAsia" w:ascii="宋体" w:hAnsi="宋体"/>
                <w:sz w:val="21"/>
                <w:szCs w:val="21"/>
              </w:rPr>
              <w:t>标准</w:t>
            </w:r>
            <w:r>
              <w:rPr>
                <w:rFonts w:ascii="宋体" w:hAnsi="宋体"/>
                <w:sz w:val="21"/>
                <w:szCs w:val="21"/>
              </w:rPr>
              <w:t>/</w:t>
            </w:r>
            <w:r>
              <w:rPr>
                <w:rFonts w:hint="eastAsia" w:ascii="宋体" w:hAnsi="宋体"/>
                <w:sz w:val="21"/>
                <w:szCs w:val="21"/>
              </w:rPr>
              <w:t>规范</w:t>
            </w:r>
            <w:r>
              <w:rPr>
                <w:rFonts w:ascii="宋体" w:hAnsi="宋体"/>
                <w:sz w:val="21"/>
                <w:szCs w:val="21"/>
              </w:rPr>
              <w:t>/</w:t>
            </w:r>
            <w:r>
              <w:rPr>
                <w:rFonts w:hint="eastAsia" w:ascii="宋体" w:hAnsi="宋体"/>
                <w:sz w:val="21"/>
                <w:szCs w:val="21"/>
              </w:rPr>
              <w:t>法规的执行情况、</w:t>
            </w:r>
            <w:r>
              <w:rPr>
                <w:rFonts w:hint="eastAsia" w:ascii="宋体" w:hAnsi="宋体"/>
                <w:sz w:val="21"/>
                <w:szCs w:val="21"/>
                <w:lang w:val="en-US" w:eastAsia="zh-CN"/>
              </w:rPr>
              <w:t>一阶段</w:t>
            </w:r>
            <w:r>
              <w:rPr>
                <w:rFonts w:hint="eastAsia" w:ascii="宋体" w:hAnsi="宋体"/>
                <w:sz w:val="21"/>
                <w:szCs w:val="21"/>
              </w:rPr>
              <w:t>审核不符合项的验证、认证证书、标志的使用情况、投诉或事故、监督抽查情况、体系变动</w:t>
            </w:r>
          </w:p>
        </w:tc>
        <w:tc>
          <w:tcPr>
            <w:tcW w:w="1054" w:type="dxa"/>
            <w:vMerge w:val="continue"/>
          </w:tcPr>
          <w:p>
            <w:pP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19" w:type="dxa"/>
            <w:vAlign w:val="center"/>
          </w:tcPr>
          <w:p>
            <w:pPr>
              <w:rPr>
                <w:rFonts w:hint="default" w:ascii="Times New Roman" w:hAnsi="Times New Roman" w:eastAsia="宋体" w:cs="Times New Roman"/>
                <w:b/>
                <w:kern w:val="2"/>
                <w:sz w:val="21"/>
                <w:szCs w:val="24"/>
                <w:lang w:val="en-US" w:eastAsia="zh-CN" w:bidi="ar-SA"/>
              </w:rPr>
            </w:pPr>
            <w:r>
              <w:rPr>
                <w:rFonts w:hint="default" w:ascii="Times New Roman" w:hAnsi="Times New Roman" w:cs="Times New Roman"/>
                <w:szCs w:val="24"/>
              </w:rPr>
              <w:t>理解组织及其环境</w:t>
            </w:r>
          </w:p>
        </w:tc>
        <w:tc>
          <w:tcPr>
            <w:tcW w:w="1292" w:type="dxa"/>
            <w:vAlign w:val="center"/>
          </w:tcPr>
          <w:p>
            <w:pPr>
              <w:rPr>
                <w:rFonts w:hint="eastAsia" w:ascii="Times New Roman" w:hAnsi="Times New Roman" w:eastAsia="宋体" w:cs="Times New Roman"/>
                <w:b/>
                <w:kern w:val="2"/>
                <w:sz w:val="21"/>
                <w:szCs w:val="24"/>
                <w:lang w:val="en-US" w:eastAsia="zh-CN" w:bidi="ar-SA"/>
              </w:rPr>
            </w:pPr>
            <w:r>
              <w:rPr>
                <w:rFonts w:hint="default" w:ascii="Times New Roman" w:hAnsi="Times New Roman" w:cs="Times New Roman"/>
                <w:szCs w:val="24"/>
              </w:rPr>
              <w:t>Q</w:t>
            </w:r>
            <w:r>
              <w:rPr>
                <w:rFonts w:hint="eastAsia" w:cs="Times New Roman"/>
                <w:szCs w:val="24"/>
                <w:lang w:eastAsia="zh-CN"/>
              </w:rPr>
              <w:t>：</w:t>
            </w:r>
            <w:r>
              <w:rPr>
                <w:rFonts w:hint="default" w:ascii="Times New Roman" w:hAnsi="Times New Roman" w:cs="Times New Roman"/>
                <w:szCs w:val="24"/>
              </w:rPr>
              <w:t>4.1</w:t>
            </w:r>
          </w:p>
        </w:tc>
        <w:tc>
          <w:tcPr>
            <w:tcW w:w="10344" w:type="dxa"/>
            <w:vAlign w:val="center"/>
          </w:tcPr>
          <w:p>
            <w:pPr>
              <w:pStyle w:val="3"/>
              <w:spacing w:line="360" w:lineRule="auto"/>
              <w:ind w:firstLine="420" w:firstLineChars="200"/>
              <w:jc w:val="left"/>
              <w:rPr>
                <w:rFonts w:hint="default" w:ascii="Times New Roman" w:hAnsi="Times New Roman" w:eastAsia="宋体" w:cs="Times New Roman"/>
                <w:b w:val="0"/>
                <w:color w:val="000000"/>
                <w:kern w:val="2"/>
                <w:sz w:val="21"/>
                <w:szCs w:val="21"/>
                <w:lang w:val="en-US" w:eastAsia="zh-CN" w:bidi="ar-SA"/>
              </w:rPr>
            </w:pPr>
            <w:r>
              <w:rPr>
                <w:rFonts w:hint="default" w:ascii="Times New Roman" w:hAnsi="Times New Roman" w:eastAsia="宋体" w:cs="Times New Roman"/>
                <w:b w:val="0"/>
                <w:color w:val="000000"/>
                <w:kern w:val="2"/>
                <w:sz w:val="21"/>
                <w:szCs w:val="21"/>
                <w:lang w:val="en-US" w:eastAsia="zh-CN" w:bidi="ar-SA"/>
              </w:rPr>
              <w:t>提供《管理手册</w:t>
            </w:r>
            <w:r>
              <w:rPr>
                <w:rFonts w:hint="eastAsia" w:ascii="Times New Roman" w:hAnsi="Times New Roman" w:eastAsia="宋体" w:cs="Times New Roman"/>
                <w:b w:val="0"/>
                <w:color w:val="000000"/>
                <w:kern w:val="2"/>
                <w:sz w:val="21"/>
                <w:szCs w:val="21"/>
                <w:lang w:val="en-US" w:eastAsia="zh-CN" w:bidi="ar-SA"/>
              </w:rPr>
              <w:t>JXBL/QM-A-2021</w:t>
            </w:r>
            <w:r>
              <w:rPr>
                <w:rFonts w:hint="default" w:ascii="Times New Roman" w:hAnsi="Times New Roman" w:eastAsia="宋体" w:cs="Times New Roman"/>
                <w:b w:val="0"/>
                <w:color w:val="000000"/>
                <w:kern w:val="2"/>
                <w:sz w:val="21"/>
                <w:szCs w:val="21"/>
                <w:lang w:val="en-US" w:eastAsia="zh-CN" w:bidi="ar-SA"/>
              </w:rPr>
              <w:t>》，对公司地理位置、国内市场地位、法律法规要求、公司内部文化观价值观、内外部环境变化等均作出描述。</w:t>
            </w:r>
          </w:p>
          <w:p>
            <w:pPr>
              <w:spacing w:line="360" w:lineRule="auto"/>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与</w:t>
            </w:r>
            <w:r>
              <w:rPr>
                <w:rFonts w:hint="eastAsia" w:cs="Times New Roman"/>
                <w:sz w:val="21"/>
                <w:szCs w:val="21"/>
                <w:lang w:val="en-US" w:eastAsia="zh-CN"/>
              </w:rPr>
              <w:t>管理者代表</w:t>
            </w:r>
            <w:r>
              <w:rPr>
                <w:rFonts w:hint="eastAsia"/>
                <w:color w:val="auto"/>
                <w:sz w:val="21"/>
                <w:szCs w:val="21"/>
                <w:lang w:val="en-US" w:eastAsia="zh-CN"/>
              </w:rPr>
              <w:t>肖欣戈</w:t>
            </w:r>
            <w:r>
              <w:rPr>
                <w:rFonts w:hint="default" w:ascii="Times New Roman" w:hAnsi="Times New Roman" w:cs="Times New Roman"/>
                <w:color w:val="000000"/>
                <w:sz w:val="21"/>
                <w:szCs w:val="21"/>
              </w:rPr>
              <w:t>沟通，简单介绍了公司发展历程、公司文化的形成与发展、长短期发展目标、价值观的沟通，并对如何创造公司良好的内部环境提出要求，对公司目前所处的外部环境也做了简单分析。公司</w:t>
            </w:r>
            <w:r>
              <w:rPr>
                <w:rFonts w:hint="eastAsia" w:cs="Times New Roman"/>
                <w:color w:val="000000"/>
                <w:sz w:val="21"/>
                <w:szCs w:val="21"/>
                <w:lang w:eastAsia="zh-CN"/>
              </w:rPr>
              <w:t>属于</w:t>
            </w:r>
            <w:r>
              <w:rPr>
                <w:rFonts w:hint="eastAsia" w:ascii="Times New Roman" w:hAnsi="Times New Roman" w:eastAsia="宋体" w:cs="Times New Roman"/>
                <w:color w:val="000000"/>
                <w:sz w:val="21"/>
                <w:szCs w:val="21"/>
                <w:lang w:eastAsia="zh-CN"/>
              </w:rPr>
              <w:t>农业部兽药国家重点骨干企业，</w:t>
            </w:r>
            <w:r>
              <w:rPr>
                <w:rFonts w:hint="default" w:ascii="Times New Roman" w:hAnsi="Times New Roman" w:eastAsia="宋体" w:cs="Times New Roman"/>
                <w:color w:val="000000"/>
                <w:sz w:val="21"/>
                <w:szCs w:val="21"/>
                <w:lang w:eastAsia="zh-CN"/>
              </w:rPr>
              <w:t>销售的产品在国内居于领先地位，</w:t>
            </w:r>
            <w:r>
              <w:rPr>
                <w:rFonts w:hint="eastAsia" w:ascii="Times New Roman" w:hAnsi="Times New Roman" w:eastAsia="宋体" w:cs="Times New Roman"/>
                <w:color w:val="000000"/>
                <w:sz w:val="21"/>
                <w:szCs w:val="21"/>
                <w:lang w:eastAsia="zh-CN"/>
              </w:rPr>
              <w:t>公司目前在上“黑狐”智能化在线监测、实时监控系统，并准备企业上市</w:t>
            </w:r>
            <w:r>
              <w:rPr>
                <w:rFonts w:hint="default" w:ascii="Times New Roman" w:hAnsi="Times New Roman" w:cs="Times New Roman"/>
                <w:color w:val="000000"/>
                <w:sz w:val="21"/>
                <w:szCs w:val="21"/>
              </w:rPr>
              <w:t>。</w:t>
            </w:r>
          </w:p>
          <w:p>
            <w:pPr>
              <w:spacing w:line="360" w:lineRule="auto"/>
              <w:ind w:firstLine="420" w:firstLineChars="200"/>
              <w:rPr>
                <w:rFonts w:hint="default" w:ascii="Times New Roman" w:hAnsi="Times New Roman" w:eastAsia="宋体" w:cs="Times New Roman"/>
                <w:kern w:val="2"/>
                <w:sz w:val="21"/>
                <w:szCs w:val="24"/>
                <w:lang w:val="de-DE" w:eastAsia="zh-CN" w:bidi="ar-SA"/>
              </w:rPr>
            </w:pPr>
            <w:r>
              <w:rPr>
                <w:rFonts w:hint="default" w:ascii="Times New Roman" w:hAnsi="Times New Roman" w:cs="Times New Roman"/>
                <w:color w:val="000000"/>
                <w:sz w:val="21"/>
                <w:szCs w:val="21"/>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054" w:type="dxa"/>
            <w:vAlign w:val="center"/>
          </w:tcPr>
          <w:p>
            <w:pPr>
              <w:jc w:val="center"/>
              <w:rPr>
                <w:rFonts w:hint="default" w:ascii="Times New Roman" w:hAnsi="Times New Roman" w:eastAsia="宋体" w:cs="Times New Roman"/>
                <w:kern w:val="2"/>
                <w:sz w:val="24"/>
                <w:szCs w:val="24"/>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019" w:type="dxa"/>
            <w:vAlign w:val="center"/>
          </w:tcPr>
          <w:p>
            <w:pPr>
              <w:rPr>
                <w:rFonts w:hint="default" w:ascii="Times New Roman" w:hAnsi="Times New Roman" w:eastAsia="宋体" w:cs="Times New Roman"/>
                <w:b/>
                <w:kern w:val="2"/>
                <w:sz w:val="21"/>
                <w:szCs w:val="24"/>
                <w:lang w:val="en-US" w:eastAsia="zh-CN" w:bidi="ar-SA"/>
              </w:rPr>
            </w:pPr>
            <w:r>
              <w:rPr>
                <w:rFonts w:hint="default" w:ascii="Times New Roman" w:hAnsi="Times New Roman" w:cs="Times New Roman"/>
                <w:szCs w:val="24"/>
              </w:rPr>
              <w:t>理解相关方的需求和期望</w:t>
            </w:r>
          </w:p>
        </w:tc>
        <w:tc>
          <w:tcPr>
            <w:tcW w:w="1292" w:type="dxa"/>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Cs w:val="24"/>
              </w:rPr>
              <w:t>Q：4.2</w:t>
            </w:r>
          </w:p>
        </w:tc>
        <w:tc>
          <w:tcPr>
            <w:tcW w:w="10344" w:type="dxa"/>
            <w:vAlign w:val="center"/>
          </w:tcPr>
          <w:p>
            <w:pPr>
              <w:spacing w:line="360" w:lineRule="auto"/>
              <w:ind w:firstLine="420" w:firstLineChars="200"/>
              <w:rPr>
                <w:rFonts w:hint="default" w:ascii="Times New Roman" w:hAnsi="Times New Roman" w:cs="Times New Roman"/>
                <w:color w:val="000000"/>
                <w:szCs w:val="24"/>
              </w:rPr>
            </w:pPr>
            <w:r>
              <w:rPr>
                <w:rFonts w:hint="default" w:ascii="Times New Roman" w:hAnsi="Times New Roman" w:cs="Times New Roman"/>
                <w:color w:val="000000"/>
                <w:szCs w:val="24"/>
              </w:rPr>
              <w:t>相关方包括</w:t>
            </w:r>
            <w:r>
              <w:rPr>
                <w:rFonts w:hint="eastAsia"/>
                <w:szCs w:val="22"/>
                <w:highlight w:val="none"/>
                <w:lang w:val="en-US" w:eastAsia="zh-CN"/>
              </w:rPr>
              <w:t>主要包括顾客/最终消费者、员工、政府、外部供方、竞争对手、社会相邻单位</w:t>
            </w:r>
            <w:r>
              <w:rPr>
                <w:rFonts w:hint="default" w:ascii="Times New Roman" w:hAnsi="Times New Roman" w:cs="Times New Roman"/>
                <w:color w:val="000000"/>
                <w:szCs w:val="24"/>
              </w:rPr>
              <w:t>等。相关方期望和要求为价格、安全性、合同协议、行业规范标准等。识别的方法为：主动调查、水平对比等。检测指标或项目：顾客满意度、客户投诉率、供方评价表等。</w:t>
            </w:r>
          </w:p>
          <w:p>
            <w:pPr>
              <w:spacing w:line="360" w:lineRule="auto"/>
              <w:ind w:firstLine="420" w:firstLineChars="200"/>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Cs w:val="24"/>
              </w:rPr>
              <w:t>基本识别了与组织管理体系有关的相关方和要求</w:t>
            </w:r>
            <w:r>
              <w:rPr>
                <w:rFonts w:hint="default" w:ascii="Times New Roman" w:hAnsi="Times New Roman" w:cs="Times New Roman"/>
                <w:szCs w:val="24"/>
                <w:lang w:val="zh-CN"/>
              </w:rPr>
              <w:t>。</w:t>
            </w:r>
          </w:p>
        </w:tc>
        <w:tc>
          <w:tcPr>
            <w:tcW w:w="1054" w:type="dxa"/>
            <w:vAlign w:val="center"/>
          </w:tcPr>
          <w:p>
            <w:pPr>
              <w:jc w:val="center"/>
              <w:rPr>
                <w:rFonts w:hint="default" w:ascii="Times New Roman" w:hAnsi="Times New Roman" w:eastAsia="宋体" w:cs="Times New Roman"/>
                <w:kern w:val="2"/>
                <w:sz w:val="24"/>
                <w:szCs w:val="24"/>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019" w:type="dxa"/>
            <w:vAlign w:val="center"/>
          </w:tcPr>
          <w:p>
            <w:pPr>
              <w:rPr>
                <w:rFonts w:hint="default"/>
              </w:rPr>
            </w:pPr>
            <w:r>
              <w:rPr>
                <w:rFonts w:hint="default"/>
              </w:rPr>
              <w:t>质量管理体系的范围</w:t>
            </w:r>
          </w:p>
          <w:p>
            <w:pPr>
              <w:pStyle w:val="2"/>
              <w:jc w:val="both"/>
              <w:rPr>
                <w:rFonts w:hint="default" w:eastAsia="宋体"/>
                <w:lang w:val="en-US" w:eastAsia="zh-CN"/>
              </w:rPr>
            </w:pPr>
            <w:r>
              <w:rPr>
                <w:rFonts w:hint="eastAsia" w:ascii="Times New Roman" w:hAnsi="Times New Roman" w:eastAsia="宋体" w:cs="Times New Roman"/>
                <w:b w:val="0"/>
                <w:kern w:val="2"/>
                <w:sz w:val="21"/>
                <w:szCs w:val="22"/>
                <w:lang w:val="en-US" w:eastAsia="zh-CN" w:bidi="ar-SA"/>
              </w:rPr>
              <w:t>删减确认</w:t>
            </w:r>
          </w:p>
        </w:tc>
        <w:tc>
          <w:tcPr>
            <w:tcW w:w="1292" w:type="dxa"/>
            <w:vAlign w:val="center"/>
          </w:tcPr>
          <w:p>
            <w:pPr>
              <w:spacing w:line="360" w:lineRule="auto"/>
              <w:jc w:val="center"/>
              <w:rPr>
                <w:rFonts w:hint="default"/>
              </w:rPr>
            </w:pPr>
            <w:r>
              <w:rPr>
                <w:rFonts w:hint="default"/>
              </w:rPr>
              <w:t>Q：4.3</w:t>
            </w:r>
          </w:p>
          <w:p>
            <w:pPr>
              <w:pStyle w:val="2"/>
              <w:jc w:val="center"/>
              <w:rPr>
                <w:rFonts w:hint="default" w:eastAsia="宋体"/>
                <w:lang w:val="en-US" w:eastAsia="zh-CN"/>
              </w:rPr>
            </w:pPr>
            <w:r>
              <w:rPr>
                <w:rFonts w:hint="eastAsia" w:ascii="Times New Roman" w:hAnsi="Times New Roman" w:eastAsia="宋体" w:cs="Times New Roman"/>
                <w:b w:val="0"/>
                <w:kern w:val="2"/>
                <w:sz w:val="21"/>
                <w:szCs w:val="22"/>
                <w:lang w:val="en-US" w:eastAsia="zh-CN" w:bidi="ar-SA"/>
              </w:rPr>
              <w:t>8.3</w:t>
            </w:r>
          </w:p>
        </w:tc>
        <w:tc>
          <w:tcPr>
            <w:tcW w:w="10344" w:type="dxa"/>
            <w:vAlign w:val="center"/>
          </w:tcPr>
          <w:p>
            <w:pPr>
              <w:spacing w:line="360" w:lineRule="auto"/>
              <w:jc w:val="left"/>
              <w:rPr>
                <w:rFonts w:hint="default" w:ascii="Times New Roman" w:hAnsi="Times New Roman" w:cs="Times New Roman"/>
                <w:szCs w:val="24"/>
              </w:rPr>
            </w:pPr>
            <w:r>
              <w:rPr>
                <w:rFonts w:hint="default" w:ascii="Times New Roman" w:hAnsi="Times New Roman" w:cs="Times New Roman"/>
                <w:szCs w:val="24"/>
              </w:rPr>
              <w:t>经确认企业的管理体系范围是：</w:t>
            </w:r>
          </w:p>
          <w:p>
            <w:pPr>
              <w:spacing w:line="360" w:lineRule="auto"/>
              <w:jc w:val="left"/>
              <w:rPr>
                <w:rFonts w:hint="default" w:ascii="Times New Roman" w:hAnsi="Times New Roman" w:cs="Times New Roman"/>
                <w:szCs w:val="24"/>
              </w:rPr>
            </w:pPr>
            <w:r>
              <w:rPr>
                <w:rFonts w:hint="default" w:ascii="Times New Roman" w:hAnsi="Times New Roman" w:cs="Times New Roman"/>
                <w:szCs w:val="24"/>
              </w:rPr>
              <w:t>Q：</w:t>
            </w:r>
            <w:r>
              <w:rPr>
                <w:rFonts w:hint="eastAsia" w:cs="Times New Roman"/>
                <w:szCs w:val="24"/>
                <w:lang w:eastAsia="zh-CN"/>
              </w:rPr>
              <w:t>资质范围内的</w:t>
            </w:r>
            <w:r>
              <w:rPr>
                <w:rFonts w:hint="default"/>
                <w:b w:val="0"/>
                <w:bCs w:val="0"/>
                <w:lang w:val="en-US" w:eastAsia="zh-CN"/>
              </w:rPr>
              <w:t>兽药生产</w:t>
            </w:r>
          </w:p>
          <w:p>
            <w:pPr>
              <w:spacing w:line="360" w:lineRule="auto"/>
              <w:ind w:firstLine="420" w:firstLineChars="200"/>
              <w:rPr>
                <w:rFonts w:hint="default" w:ascii="Times New Roman" w:hAnsi="Times New Roman" w:eastAsia="宋体" w:cs="Times New Roman"/>
                <w:kern w:val="2"/>
                <w:sz w:val="21"/>
                <w:szCs w:val="24"/>
                <w:lang w:val="en-US" w:eastAsia="zh-CN" w:bidi="ar-SA"/>
              </w:rPr>
            </w:pPr>
            <w:r>
              <w:rPr>
                <w:rFonts w:hint="eastAsia"/>
                <w:lang w:val="en-US" w:eastAsia="zh-CN"/>
              </w:rPr>
              <w:t>删减条款Q8.3，</w:t>
            </w:r>
            <w:r>
              <w:rPr>
                <w:rFonts w:hint="eastAsia" w:ascii="宋体" w:hAnsi="宋体" w:cs="宋体"/>
                <w:bCs/>
                <w:sz w:val="21"/>
                <w:szCs w:val="21"/>
              </w:rPr>
              <w:t>本公司生产的资质范围内的兽药生产，按照顾客要求，国家或行业相关标准要求进行制造生产，其生产过程不涉及GB/T19001-2016/ISO 9001：2015标准中8.3条款内容，其不适用的要求不影响组织确保其产品和服务合格的能力和责任，对增强顾客满意也不会产生影响</w:t>
            </w:r>
          </w:p>
        </w:tc>
        <w:tc>
          <w:tcPr>
            <w:tcW w:w="1054" w:type="dxa"/>
            <w:vAlign w:val="center"/>
          </w:tcPr>
          <w:p>
            <w:pPr>
              <w:jc w:val="center"/>
              <w:rPr>
                <w:rFonts w:hint="default" w:ascii="Times New Roman" w:hAnsi="Times New Roman" w:eastAsia="宋体" w:cs="Times New Roman"/>
                <w:kern w:val="2"/>
                <w:sz w:val="24"/>
                <w:szCs w:val="24"/>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019" w:type="dxa"/>
            <w:vAlign w:val="center"/>
          </w:tcPr>
          <w:p>
            <w:pP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Cs w:val="24"/>
              </w:rPr>
              <w:t>质量管理体系及其过程</w:t>
            </w:r>
          </w:p>
        </w:tc>
        <w:tc>
          <w:tcPr>
            <w:tcW w:w="1292" w:type="dxa"/>
            <w:vAlign w:val="center"/>
          </w:tcPr>
          <w:p>
            <w:pP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Cs w:val="24"/>
              </w:rPr>
              <w:t xml:space="preserve">Q：4.4  </w:t>
            </w:r>
          </w:p>
        </w:tc>
        <w:tc>
          <w:tcPr>
            <w:tcW w:w="10344" w:type="dxa"/>
            <w:vAlign w:val="center"/>
          </w:tcPr>
          <w:p>
            <w:pPr>
              <w:spacing w:line="360" w:lineRule="auto"/>
              <w:rPr>
                <w:rFonts w:hint="default" w:ascii="Times New Roman" w:hAnsi="Times New Roman" w:cs="Times New Roman"/>
                <w:szCs w:val="24"/>
              </w:rPr>
            </w:pPr>
            <w:r>
              <w:rPr>
                <w:rFonts w:hint="default" w:ascii="Times New Roman" w:hAnsi="Times New Roman" w:cs="Times New Roman"/>
                <w:szCs w:val="24"/>
              </w:rPr>
              <w:t>公司按照 GB/T19001-2016 标准的要求识别了质量管理所需的过程及相互作用，识别了质量管理体系涉及的各个过程：</w:t>
            </w:r>
          </w:p>
          <w:p>
            <w:pPr>
              <w:spacing w:line="360" w:lineRule="auto"/>
              <w:rPr>
                <w:rFonts w:hint="default" w:ascii="Times New Roman" w:hAnsi="Times New Roman" w:cs="Times New Roman"/>
                <w:szCs w:val="24"/>
              </w:rPr>
            </w:pPr>
            <w:r>
              <w:rPr>
                <w:rFonts w:hint="default" w:ascii="Times New Roman" w:hAnsi="Times New Roman" w:cs="Times New Roman"/>
                <w:szCs w:val="24"/>
              </w:rPr>
              <w:t>　　a) 确定这些过程所需的输入和期望的输出；</w:t>
            </w:r>
          </w:p>
          <w:p>
            <w:pPr>
              <w:spacing w:line="360" w:lineRule="auto"/>
              <w:rPr>
                <w:rFonts w:hint="default" w:ascii="Times New Roman" w:hAnsi="Times New Roman" w:cs="Times New Roman"/>
                <w:szCs w:val="24"/>
              </w:rPr>
            </w:pPr>
            <w:r>
              <w:rPr>
                <w:rFonts w:hint="default" w:ascii="Times New Roman" w:hAnsi="Times New Roman" w:cs="Times New Roman"/>
                <w:szCs w:val="24"/>
              </w:rPr>
              <w:t>　　b) 确定这些过程的顺序和相互作用；</w:t>
            </w:r>
          </w:p>
          <w:p>
            <w:pPr>
              <w:spacing w:line="360" w:lineRule="auto"/>
              <w:rPr>
                <w:rFonts w:hint="default" w:ascii="Times New Roman" w:hAnsi="Times New Roman" w:cs="Times New Roman"/>
                <w:szCs w:val="24"/>
              </w:rPr>
            </w:pPr>
            <w:r>
              <w:rPr>
                <w:rFonts w:hint="default" w:ascii="Times New Roman" w:hAnsi="Times New Roman" w:cs="Times New Roman"/>
                <w:szCs w:val="24"/>
              </w:rPr>
              <w:t>　　c) 建立了程序文件、管理制度、作业指导书、检验规程等明确了各个过程所需的准则和方法，并明确了目标。</w:t>
            </w:r>
          </w:p>
          <w:p>
            <w:pPr>
              <w:spacing w:line="360" w:lineRule="auto"/>
              <w:rPr>
                <w:rFonts w:hint="default" w:ascii="Times New Roman" w:hAnsi="Times New Roman" w:cs="Times New Roman"/>
                <w:szCs w:val="24"/>
              </w:rPr>
            </w:pPr>
            <w:r>
              <w:rPr>
                <w:rFonts w:hint="default" w:ascii="Times New Roman" w:hAnsi="Times New Roman" w:cs="Times New Roman"/>
                <w:szCs w:val="24"/>
              </w:rPr>
              <w:t>　　d) 规定了每个过程所需的资源；</w:t>
            </w:r>
          </w:p>
          <w:p>
            <w:pPr>
              <w:spacing w:line="360" w:lineRule="auto"/>
              <w:rPr>
                <w:rFonts w:hint="default" w:ascii="Times New Roman" w:hAnsi="Times New Roman" w:cs="Times New Roman"/>
                <w:szCs w:val="24"/>
              </w:rPr>
            </w:pPr>
            <w:r>
              <w:rPr>
                <w:rFonts w:hint="default" w:ascii="Times New Roman" w:hAnsi="Times New Roman" w:cs="Times New Roman"/>
                <w:szCs w:val="24"/>
              </w:rPr>
              <w:t>　　e) 规定与这些过程相关的责任和权限；</w:t>
            </w:r>
          </w:p>
          <w:p>
            <w:pPr>
              <w:spacing w:line="360" w:lineRule="auto"/>
              <w:rPr>
                <w:rFonts w:hint="default" w:ascii="Times New Roman" w:hAnsi="Times New Roman" w:cs="Times New Roman"/>
                <w:szCs w:val="24"/>
              </w:rPr>
            </w:pPr>
            <w:r>
              <w:rPr>
                <w:rFonts w:hint="default" w:ascii="Times New Roman" w:hAnsi="Times New Roman" w:cs="Times New Roman"/>
                <w:szCs w:val="24"/>
              </w:rPr>
              <w:t>　  f) 针对这些过程识别和确定了质量管理活动的风险、机会以及所需的措施；</w:t>
            </w:r>
          </w:p>
          <w:p>
            <w:pPr>
              <w:spacing w:line="360" w:lineRule="auto"/>
              <w:ind w:firstLine="420" w:firstLineChars="200"/>
              <w:rPr>
                <w:rFonts w:hint="default" w:ascii="Times New Roman" w:hAnsi="Times New Roman" w:cs="Times New Roman"/>
                <w:szCs w:val="24"/>
              </w:rPr>
            </w:pPr>
            <w:r>
              <w:rPr>
                <w:rFonts w:hint="default" w:ascii="Times New Roman" w:hAnsi="Times New Roman" w:cs="Times New Roman"/>
                <w:szCs w:val="24"/>
              </w:rPr>
              <w:t>g) 对这些过程进行了评价，暂无所需的变更；</w:t>
            </w:r>
          </w:p>
          <w:p>
            <w:pPr>
              <w:spacing w:line="360" w:lineRule="auto"/>
              <w:ind w:firstLine="420" w:firstLineChars="200"/>
              <w:rPr>
                <w:rFonts w:hint="default" w:ascii="Times New Roman" w:hAnsi="Times New Roman" w:cs="Times New Roman"/>
                <w:szCs w:val="24"/>
              </w:rPr>
            </w:pPr>
            <w:r>
              <w:rPr>
                <w:rFonts w:hint="default" w:ascii="Times New Roman" w:hAnsi="Times New Roman" w:cs="Times New Roman"/>
                <w:szCs w:val="24"/>
              </w:rPr>
              <w:t>h) 公司通过绩效评价、内部审核、管理评审等以期对质量/环境/职业健康安全管理管理体系得到改进。</w:t>
            </w:r>
          </w:p>
          <w:p>
            <w:pPr>
              <w:spacing w:line="360" w:lineRule="auto"/>
              <w:ind w:firstLine="420" w:firstLineChars="200"/>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Cs w:val="24"/>
              </w:rPr>
              <w:t>公司按照标准建立了文件化的质量管理体系，编制了质量手册，流程性文件、管理制度、作业指导书、检验规程等；并对各个过程的监控进行了记录，形成了相关文件化信息，为过程运行提供了支持，以证实过程按照策划执行。</w:t>
            </w:r>
          </w:p>
        </w:tc>
        <w:tc>
          <w:tcPr>
            <w:tcW w:w="1054" w:type="dxa"/>
            <w:vAlign w:val="center"/>
          </w:tcPr>
          <w:p>
            <w:pPr>
              <w:jc w:val="center"/>
              <w:rPr>
                <w:rFonts w:hint="default" w:ascii="Times New Roman" w:hAnsi="Times New Roman" w:cs="Times New Roman"/>
                <w:sz w:val="24"/>
                <w:szCs w:val="24"/>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019" w:type="dxa"/>
            <w:vAlign w:val="center"/>
          </w:tcPr>
          <w:p>
            <w:pPr>
              <w:rPr>
                <w:rFonts w:hint="default" w:ascii="Times New Roman" w:hAnsi="Times New Roman" w:cs="Times New Roman"/>
                <w:szCs w:val="24"/>
              </w:rPr>
            </w:pPr>
            <w:r>
              <w:rPr>
                <w:rFonts w:hint="default" w:ascii="Times New Roman" w:hAnsi="Times New Roman" w:cs="Times New Roman"/>
                <w:szCs w:val="24"/>
              </w:rPr>
              <w:t>领导作用和承诺</w:t>
            </w:r>
          </w:p>
          <w:p>
            <w:pPr>
              <w:rPr>
                <w:rFonts w:hint="default" w:ascii="Times New Roman" w:hAnsi="Times New Roman" w:eastAsia="宋体" w:cs="Times New Roman"/>
                <w:b/>
                <w:kern w:val="2"/>
                <w:sz w:val="21"/>
                <w:szCs w:val="24"/>
                <w:lang w:val="en-US" w:eastAsia="zh-CN" w:bidi="ar-SA"/>
              </w:rPr>
            </w:pPr>
            <w:r>
              <w:rPr>
                <w:rFonts w:hint="eastAsia" w:ascii="Times New Roman" w:hAnsi="Times New Roman" w:cs="Times New Roman"/>
                <w:szCs w:val="24"/>
              </w:rPr>
              <w:t>组织的岗位职责和权限</w:t>
            </w:r>
          </w:p>
        </w:tc>
        <w:tc>
          <w:tcPr>
            <w:tcW w:w="1292" w:type="dxa"/>
            <w:vAlign w:val="center"/>
          </w:tcPr>
          <w:p>
            <w:pPr>
              <w:rPr>
                <w:rFonts w:hint="default" w:ascii="Times New Roman" w:hAnsi="Times New Roman" w:cs="Times New Roman"/>
                <w:szCs w:val="24"/>
              </w:rPr>
            </w:pPr>
            <w:r>
              <w:rPr>
                <w:rFonts w:hint="default" w:ascii="Times New Roman" w:hAnsi="Times New Roman" w:cs="Times New Roman"/>
                <w:szCs w:val="24"/>
              </w:rPr>
              <w:t>Q：5.1</w:t>
            </w:r>
          </w:p>
          <w:p>
            <w:pPr>
              <w:rPr>
                <w:rFonts w:hint="default" w:ascii="Times New Roman" w:hAnsi="Times New Roman" w:eastAsia="宋体" w:cs="Times New Roman"/>
                <w:b/>
                <w:kern w:val="2"/>
                <w:sz w:val="21"/>
                <w:szCs w:val="24"/>
                <w:lang w:val="en-US" w:eastAsia="zh-CN" w:bidi="ar-SA"/>
              </w:rPr>
            </w:pPr>
            <w:r>
              <w:rPr>
                <w:rFonts w:hint="eastAsia" w:cs="Times New Roman"/>
                <w:szCs w:val="24"/>
                <w:lang w:val="en-US" w:eastAsia="zh-CN"/>
              </w:rPr>
              <w:t>5.3</w:t>
            </w:r>
          </w:p>
        </w:tc>
        <w:tc>
          <w:tcPr>
            <w:tcW w:w="10344" w:type="dxa"/>
            <w:vAlign w:val="center"/>
          </w:tcPr>
          <w:p>
            <w:pPr>
              <w:spacing w:line="360" w:lineRule="auto"/>
              <w:ind w:firstLine="420" w:firstLineChars="200"/>
              <w:rPr>
                <w:rFonts w:hint="default" w:ascii="Times New Roman" w:hAnsi="Times New Roman" w:cs="Times New Roman"/>
                <w:color w:val="000000"/>
                <w:szCs w:val="24"/>
              </w:rPr>
            </w:pPr>
            <w:r>
              <w:rPr>
                <w:rFonts w:hint="eastAsia" w:ascii="Times New Roman" w:hAnsi="宋体"/>
                <w:sz w:val="21"/>
                <w:szCs w:val="21"/>
                <w:lang w:eastAsia="zh-CN"/>
              </w:rPr>
              <w:t>总经理主要负责</w:t>
            </w:r>
            <w:r>
              <w:rPr>
                <w:rFonts w:ascii="Times New Roman" w:hAnsi="宋体" w:eastAsia="宋体"/>
                <w:sz w:val="21"/>
                <w:szCs w:val="21"/>
              </w:rPr>
              <w:t>制定和实施公司总体战略，并根据内外部环境变化进行调整，发掘市场机会，领导创新与变革</w:t>
            </w:r>
            <w:r>
              <w:rPr>
                <w:rFonts w:hint="default" w:ascii="Times New Roman" w:hAnsi="Times New Roman" w:cs="Times New Roman"/>
                <w:color w:val="000000"/>
                <w:szCs w:val="24"/>
              </w:rPr>
              <w:t>，</w:t>
            </w:r>
            <w:r>
              <w:rPr>
                <w:rFonts w:ascii="Times New Roman" w:hAnsi="宋体" w:eastAsia="宋体"/>
                <w:kern w:val="0"/>
                <w:sz w:val="21"/>
                <w:szCs w:val="21"/>
              </w:rPr>
              <w:t>负责公司员工队伍建设，选拔中高层管理人员</w:t>
            </w:r>
            <w:r>
              <w:rPr>
                <w:rFonts w:ascii="Times New Roman" w:hAnsi="宋体" w:eastAsia="宋体"/>
                <w:sz w:val="21"/>
                <w:szCs w:val="21"/>
              </w:rPr>
              <w:t>；</w:t>
            </w:r>
            <w:r>
              <w:rPr>
                <w:rFonts w:ascii="Times New Roman" w:hAnsi="宋体" w:eastAsia="宋体"/>
                <w:kern w:val="0"/>
                <w:sz w:val="21"/>
                <w:szCs w:val="21"/>
              </w:rPr>
              <w:t>代表公司参加重大业务、外事或其它重要活动</w:t>
            </w:r>
            <w:r>
              <w:rPr>
                <w:rFonts w:ascii="Times New Roman" w:hAnsi="宋体" w:eastAsia="宋体"/>
                <w:sz w:val="21"/>
                <w:szCs w:val="21"/>
              </w:rPr>
              <w:t>；负责处理公司重大突发事件</w:t>
            </w:r>
            <w:r>
              <w:rPr>
                <w:rFonts w:hint="eastAsia" w:ascii="Times New Roman" w:hAnsi="宋体"/>
                <w:sz w:val="21"/>
                <w:szCs w:val="21"/>
                <w:lang w:eastAsia="zh-CN"/>
              </w:rPr>
              <w:t>，</w:t>
            </w:r>
            <w:r>
              <w:rPr>
                <w:rFonts w:hint="default" w:ascii="Times New Roman" w:hAnsi="Times New Roman" w:cs="Times New Roman"/>
                <w:color w:val="000000"/>
                <w:szCs w:val="24"/>
              </w:rPr>
              <w:t>根据体系的要求，负责组织制定方针、目标，管理评审等工作；</w:t>
            </w:r>
          </w:p>
          <w:p>
            <w:pPr>
              <w:spacing w:line="360" w:lineRule="auto"/>
              <w:ind w:firstLine="420" w:firstLineChars="200"/>
              <w:rPr>
                <w:rFonts w:hint="default" w:ascii="Times New Roman" w:hAnsi="Times New Roman" w:cs="Times New Roman"/>
                <w:szCs w:val="24"/>
              </w:rPr>
            </w:pPr>
            <w:r>
              <w:rPr>
                <w:rFonts w:hint="default" w:ascii="Times New Roman" w:hAnsi="Times New Roman" w:cs="Times New Roman"/>
                <w:szCs w:val="24"/>
              </w:rPr>
              <w:t>管代</w:t>
            </w:r>
            <w:r>
              <w:rPr>
                <w:rFonts w:hint="eastAsia"/>
                <w:color w:val="auto"/>
                <w:sz w:val="21"/>
                <w:szCs w:val="21"/>
                <w:lang w:val="en-US" w:eastAsia="zh-CN"/>
              </w:rPr>
              <w:t>肖欣戈</w:t>
            </w:r>
            <w:r>
              <w:rPr>
                <w:rFonts w:hint="default" w:ascii="Times New Roman" w:hAnsi="Times New Roman" w:cs="Times New Roman"/>
                <w:szCs w:val="24"/>
              </w:rPr>
              <w:t>，主要负责公司行政及体系工作。</w:t>
            </w:r>
          </w:p>
          <w:p>
            <w:pPr>
              <w:spacing w:line="360" w:lineRule="auto"/>
              <w:ind w:firstLine="420" w:firstLineChars="200"/>
              <w:rPr>
                <w:rFonts w:hint="default" w:ascii="Times New Roman" w:hAnsi="Times New Roman" w:cs="Times New Roman"/>
                <w:szCs w:val="24"/>
              </w:rPr>
            </w:pPr>
            <w:r>
              <w:rPr>
                <w:rFonts w:hint="default" w:ascii="Times New Roman" w:hAnsi="Times New Roman" w:cs="Times New Roman"/>
                <w:szCs w:val="24"/>
              </w:rPr>
              <w:t>对部门及其职责进行了规定，</w:t>
            </w:r>
            <w:r>
              <w:rPr>
                <w:rFonts w:hint="eastAsia"/>
                <w:highlight w:val="none"/>
              </w:rPr>
              <w:t>公司设置有销售部、行政部、供应仓储部、质量控制部、生产技术部</w:t>
            </w:r>
            <w:r>
              <w:rPr>
                <w:rFonts w:hint="default" w:ascii="Times New Roman" w:hAnsi="Times New Roman" w:cs="Times New Roman"/>
                <w:szCs w:val="24"/>
              </w:rPr>
              <w:t>，编制了岗位职责汇编，以文件上发的形式沟通各部门的职责及各部门之间工作的联系。</w:t>
            </w:r>
          </w:p>
          <w:p>
            <w:pPr>
              <w:spacing w:line="360" w:lineRule="auto"/>
              <w:rPr>
                <w:rFonts w:hint="default" w:ascii="Times New Roman" w:hAnsi="Times New Roman" w:cs="Times New Roman"/>
                <w:szCs w:val="24"/>
              </w:rPr>
            </w:pPr>
            <w:r>
              <w:rPr>
                <w:rFonts w:hint="default" w:ascii="Times New Roman" w:hAnsi="Times New Roman" w:cs="Times New Roman"/>
                <w:szCs w:val="24"/>
              </w:rPr>
              <w:t>1、确保本公司</w:t>
            </w:r>
            <w:r>
              <w:rPr>
                <w:rFonts w:hint="eastAsia" w:cs="Times New Roman"/>
                <w:szCs w:val="24"/>
                <w:lang w:eastAsia="zh-CN"/>
              </w:rPr>
              <w:t>质量管理</w:t>
            </w:r>
            <w:r>
              <w:rPr>
                <w:rFonts w:hint="default" w:ascii="Times New Roman" w:hAnsi="Times New Roman" w:cs="Times New Roman"/>
                <w:szCs w:val="24"/>
              </w:rPr>
              <w:t>体系所需的过程得到建立、实施和保持；</w:t>
            </w:r>
          </w:p>
          <w:p>
            <w:pPr>
              <w:spacing w:line="360" w:lineRule="auto"/>
              <w:rPr>
                <w:rFonts w:hint="default" w:ascii="Times New Roman" w:hAnsi="Times New Roman" w:cs="Times New Roman"/>
                <w:szCs w:val="24"/>
              </w:rPr>
            </w:pPr>
            <w:r>
              <w:rPr>
                <w:rFonts w:hint="default" w:ascii="Times New Roman" w:hAnsi="Times New Roman" w:cs="Times New Roman"/>
                <w:szCs w:val="24"/>
              </w:rPr>
              <w:t>2、向总经理报告体系运行的业绩，包括改进的需求；</w:t>
            </w:r>
          </w:p>
          <w:p>
            <w:pPr>
              <w:spacing w:line="360" w:lineRule="auto"/>
              <w:rPr>
                <w:rFonts w:hint="default" w:ascii="Times New Roman" w:hAnsi="Times New Roman" w:cs="Times New Roman"/>
                <w:szCs w:val="24"/>
              </w:rPr>
            </w:pPr>
            <w:r>
              <w:rPr>
                <w:rFonts w:hint="default" w:ascii="Times New Roman" w:hAnsi="Times New Roman" w:cs="Times New Roman"/>
                <w:szCs w:val="24"/>
              </w:rPr>
              <w:t>3、在全公司范围内促进满足顾客要求意识</w:t>
            </w:r>
            <w:r>
              <w:rPr>
                <w:rFonts w:hint="eastAsia" w:cs="Times New Roman"/>
                <w:szCs w:val="24"/>
                <w:lang w:eastAsia="zh-CN"/>
              </w:rPr>
              <w:t>及产品质量</w:t>
            </w:r>
            <w:r>
              <w:rPr>
                <w:rFonts w:hint="default" w:ascii="Times New Roman" w:hAnsi="Times New Roman" w:cs="Times New Roman"/>
                <w:szCs w:val="24"/>
              </w:rPr>
              <w:t>意识的形成和提高；就体系有关事宜对外联系。</w:t>
            </w:r>
          </w:p>
          <w:p>
            <w:pPr>
              <w:spacing w:line="360" w:lineRule="auto"/>
              <w:ind w:firstLine="420" w:firstLineChars="200"/>
              <w:rPr>
                <w:rFonts w:hint="default" w:ascii="Times New Roman" w:hAnsi="Times New Roman" w:cs="Times New Roman"/>
                <w:szCs w:val="24"/>
              </w:rPr>
            </w:pPr>
            <w:r>
              <w:rPr>
                <w:rFonts w:hint="default" w:ascii="Times New Roman" w:hAnsi="Times New Roman" w:cs="Times New Roman"/>
                <w:szCs w:val="24"/>
              </w:rPr>
              <w:t>总经理主持建立了质量管理体系，对管理体系的运行和保持进行了适当的授权，提供了必需的资源，能履行其管理承诺。</w:t>
            </w:r>
          </w:p>
          <w:p>
            <w:pPr>
              <w:spacing w:line="360" w:lineRule="auto"/>
              <w:ind w:firstLine="420" w:firstLineChars="200"/>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Cs w:val="24"/>
              </w:rPr>
              <w:t>总经理和管代熟悉管理体系的基本运行情况，比较重视体系建设。</w:t>
            </w:r>
          </w:p>
        </w:tc>
        <w:tc>
          <w:tcPr>
            <w:tcW w:w="1054" w:type="dxa"/>
            <w:vAlign w:val="center"/>
          </w:tcPr>
          <w:p>
            <w:pPr>
              <w:jc w:val="center"/>
              <w:rPr>
                <w:rFonts w:hint="default" w:ascii="Times New Roman" w:hAnsi="Times New Roman" w:cs="Times New Roman"/>
                <w:sz w:val="24"/>
                <w:szCs w:val="24"/>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7" w:hRule="atLeast"/>
        </w:trPr>
        <w:tc>
          <w:tcPr>
            <w:tcW w:w="2019" w:type="dxa"/>
            <w:vAlign w:val="center"/>
          </w:tcPr>
          <w:p>
            <w:pPr>
              <w:rPr>
                <w:rFonts w:hint="default" w:ascii="Times New Roman" w:hAnsi="Times New Roman" w:cs="Times New Roman"/>
                <w:szCs w:val="24"/>
              </w:rPr>
            </w:pPr>
            <w:r>
              <w:rPr>
                <w:rFonts w:hint="default" w:ascii="Times New Roman" w:hAnsi="Times New Roman" w:cs="Times New Roman"/>
                <w:szCs w:val="24"/>
              </w:rPr>
              <w:t>方针</w:t>
            </w:r>
          </w:p>
        </w:tc>
        <w:tc>
          <w:tcPr>
            <w:tcW w:w="1292" w:type="dxa"/>
            <w:vAlign w:val="center"/>
          </w:tcPr>
          <w:p>
            <w:pPr>
              <w:rPr>
                <w:rFonts w:hint="default" w:ascii="Times New Roman" w:hAnsi="Times New Roman" w:cs="Times New Roman"/>
                <w:szCs w:val="24"/>
              </w:rPr>
            </w:pPr>
            <w:r>
              <w:rPr>
                <w:rFonts w:hint="default" w:ascii="Times New Roman" w:hAnsi="Times New Roman" w:cs="Times New Roman"/>
                <w:szCs w:val="24"/>
              </w:rPr>
              <w:t xml:space="preserve">Q：5.2 </w:t>
            </w:r>
          </w:p>
        </w:tc>
        <w:tc>
          <w:tcPr>
            <w:tcW w:w="10344" w:type="dxa"/>
            <w:vAlign w:val="center"/>
          </w:tcPr>
          <w:p>
            <w:pPr>
              <w:spacing w:line="360" w:lineRule="auto"/>
              <w:rPr>
                <w:rFonts w:hint="default" w:ascii="Times New Roman" w:hAnsi="Times New Roman" w:cs="Times New Roman"/>
                <w:szCs w:val="24"/>
              </w:rPr>
            </w:pPr>
            <w:r>
              <w:rPr>
                <w:rFonts w:hint="default" w:ascii="Times New Roman" w:hAnsi="Times New Roman" w:cs="Times New Roman"/>
                <w:szCs w:val="24"/>
              </w:rPr>
              <w:t>企业已经制定质量方针，具体包含在《管理手册》，公司的质量方针是：</w:t>
            </w:r>
          </w:p>
          <w:p>
            <w:pPr>
              <w:pStyle w:val="3"/>
              <w:spacing w:line="360" w:lineRule="auto"/>
              <w:ind w:firstLine="502" w:firstLineChars="200"/>
              <w:jc w:val="both"/>
              <w:rPr>
                <w:rFonts w:hint="default" w:ascii="Times New Roman" w:hAnsi="Times New Roman" w:eastAsia="宋体" w:cs="Times New Roman"/>
                <w:b/>
                <w:bCs/>
                <w:spacing w:val="20"/>
                <w:kern w:val="2"/>
                <w:sz w:val="21"/>
                <w:szCs w:val="21"/>
                <w:lang w:val="en-US" w:eastAsia="zh-CN" w:bidi="ar-SA"/>
              </w:rPr>
            </w:pPr>
            <w:r>
              <w:rPr>
                <w:rFonts w:hint="eastAsia" w:ascii="Times New Roman" w:hAnsi="Times New Roman" w:eastAsia="宋体" w:cs="Times New Roman"/>
                <w:b/>
                <w:bCs/>
                <w:spacing w:val="20"/>
                <w:kern w:val="2"/>
                <w:sz w:val="21"/>
                <w:szCs w:val="21"/>
                <w:lang w:val="en-US" w:eastAsia="zh-CN" w:bidi="ar-SA"/>
              </w:rPr>
              <w:t>以人为本，科学管理，品质一流，用户满意</w:t>
            </w:r>
            <w:r>
              <w:rPr>
                <w:rFonts w:hint="default" w:ascii="Times New Roman" w:hAnsi="Times New Roman" w:eastAsia="宋体" w:cs="Times New Roman"/>
                <w:b/>
                <w:bCs/>
                <w:spacing w:val="20"/>
                <w:kern w:val="2"/>
                <w:sz w:val="21"/>
                <w:szCs w:val="21"/>
                <w:lang w:val="en-US" w:eastAsia="zh-CN" w:bidi="ar-SA"/>
              </w:rPr>
              <w:t>。</w:t>
            </w:r>
          </w:p>
          <w:p>
            <w:pPr>
              <w:pStyle w:val="3"/>
              <w:spacing w:line="360" w:lineRule="auto"/>
              <w:ind w:firstLine="420" w:firstLineChars="200"/>
              <w:jc w:val="both"/>
              <w:rPr>
                <w:rFonts w:hint="eastAsia" w:ascii="Times New Roman" w:hAnsi="Times New Roman" w:eastAsia="宋体" w:cs="Times New Roman"/>
                <w:b w:val="0"/>
                <w:kern w:val="2"/>
                <w:sz w:val="21"/>
                <w:szCs w:val="24"/>
                <w:lang w:val="en-US" w:eastAsia="zh-CN" w:bidi="ar-SA"/>
              </w:rPr>
            </w:pPr>
            <w:r>
              <w:rPr>
                <w:rFonts w:hint="eastAsia" w:ascii="Times New Roman" w:hAnsi="Times New Roman" w:eastAsia="宋体" w:cs="Times New Roman"/>
                <w:b w:val="0"/>
                <w:kern w:val="2"/>
                <w:sz w:val="21"/>
                <w:szCs w:val="24"/>
                <w:lang w:val="en-US" w:eastAsia="zh-CN" w:bidi="ar-SA"/>
              </w:rPr>
              <w:t>与公司的宗旨相适应：以人为本，与顾客同发展，为社会创造价值；</w:t>
            </w:r>
          </w:p>
          <w:p>
            <w:pPr>
              <w:pStyle w:val="3"/>
              <w:spacing w:line="360" w:lineRule="auto"/>
              <w:ind w:firstLine="420" w:firstLineChars="200"/>
              <w:jc w:val="both"/>
              <w:rPr>
                <w:rFonts w:hint="default" w:ascii="Times New Roman" w:hAnsi="Times New Roman" w:eastAsia="宋体" w:cs="Times New Roman"/>
                <w:b w:val="0"/>
                <w:kern w:val="2"/>
                <w:sz w:val="21"/>
                <w:szCs w:val="24"/>
                <w:lang w:val="en-US" w:eastAsia="zh-CN" w:bidi="ar-SA"/>
              </w:rPr>
            </w:pPr>
            <w:r>
              <w:rPr>
                <w:rFonts w:hint="eastAsia" w:ascii="Times New Roman" w:hAnsi="Times New Roman" w:eastAsia="宋体" w:cs="Times New Roman"/>
                <w:b w:val="0"/>
                <w:kern w:val="2"/>
                <w:sz w:val="21"/>
                <w:szCs w:val="24"/>
                <w:lang w:val="en-US" w:eastAsia="zh-CN" w:bidi="ar-SA"/>
              </w:rPr>
              <w:t>包括了对产品质量和顾客要求以及持续改进管理体系有效性的承诺；</w:t>
            </w:r>
          </w:p>
          <w:p>
            <w:pPr>
              <w:spacing w:line="360" w:lineRule="auto"/>
              <w:ind w:firstLine="420" w:firstLineChars="200"/>
              <w:rPr>
                <w:rFonts w:hint="default" w:ascii="Times New Roman" w:hAnsi="Times New Roman" w:cs="Times New Roman"/>
                <w:szCs w:val="24"/>
              </w:rPr>
            </w:pPr>
            <w:r>
              <w:rPr>
                <w:rFonts w:hint="default" w:ascii="Times New Roman" w:hAnsi="Times New Roman" w:cs="Times New Roman"/>
                <w:szCs w:val="24"/>
              </w:rPr>
              <w:t>查领导层参与制定管理体系方针的情况，是否熟悉组织的管理体系方针内容、含义：</w:t>
            </w:r>
          </w:p>
          <w:p>
            <w:pPr>
              <w:spacing w:line="360" w:lineRule="auto"/>
              <w:ind w:firstLine="420" w:firstLineChars="200"/>
              <w:rPr>
                <w:rFonts w:hint="default" w:ascii="Times New Roman" w:hAnsi="Times New Roman" w:cs="Times New Roman"/>
                <w:szCs w:val="24"/>
              </w:rPr>
            </w:pPr>
            <w:r>
              <w:rPr>
                <w:rFonts w:hint="default" w:ascii="Times New Roman" w:hAnsi="Times New Roman" w:cs="Times New Roman"/>
                <w:szCs w:val="24"/>
              </w:rPr>
              <w:t>管代：</w:t>
            </w:r>
            <w:r>
              <w:rPr>
                <w:rFonts w:hint="eastAsia"/>
                <w:color w:val="auto"/>
                <w:sz w:val="21"/>
                <w:szCs w:val="21"/>
                <w:lang w:val="en-US" w:eastAsia="zh-CN"/>
              </w:rPr>
              <w:t>肖欣戈</w:t>
            </w:r>
            <w:r>
              <w:rPr>
                <w:rFonts w:hint="default" w:ascii="Times New Roman" w:hAnsi="Times New Roman" w:cs="Times New Roman"/>
                <w:szCs w:val="24"/>
              </w:rPr>
              <w:t>，按照标准要求制订的方针，并介绍了方针的含义，对体系知识的学习还需加强。管理评审对质量、环境、职业健康安全方针的适宜性作了评审，判定适宜，适合公司的发展需求。质量、环境和职业健康安全方针符合标准要求。</w:t>
            </w:r>
          </w:p>
        </w:tc>
        <w:tc>
          <w:tcPr>
            <w:tcW w:w="1054" w:type="dxa"/>
            <w:vAlign w:val="center"/>
          </w:tcPr>
          <w:p>
            <w:pPr>
              <w:jc w:val="center"/>
              <w:rPr>
                <w:rFonts w:hint="default" w:ascii="Times New Roman" w:hAnsi="Times New Roman" w:cs="Times New Roman"/>
                <w:sz w:val="24"/>
                <w:szCs w:val="24"/>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trPr>
        <w:tc>
          <w:tcPr>
            <w:tcW w:w="2019" w:type="dxa"/>
            <w:vAlign w:val="center"/>
          </w:tcPr>
          <w:p>
            <w:pPr>
              <w:rPr>
                <w:rFonts w:hint="default" w:ascii="Times New Roman" w:hAnsi="Times New Roman" w:cs="Times New Roman"/>
                <w:szCs w:val="24"/>
              </w:rPr>
            </w:pPr>
            <w:r>
              <w:rPr>
                <w:rFonts w:hint="default" w:ascii="Times New Roman" w:hAnsi="Times New Roman" w:cs="Times New Roman"/>
                <w:szCs w:val="24"/>
              </w:rPr>
              <w:t>组织的角色、职责和权限</w:t>
            </w:r>
          </w:p>
        </w:tc>
        <w:tc>
          <w:tcPr>
            <w:tcW w:w="1292" w:type="dxa"/>
            <w:vAlign w:val="center"/>
          </w:tcPr>
          <w:p>
            <w:pPr>
              <w:rPr>
                <w:rFonts w:hint="default" w:ascii="Times New Roman" w:hAnsi="Times New Roman" w:cs="Times New Roman"/>
                <w:szCs w:val="24"/>
              </w:rPr>
            </w:pPr>
            <w:r>
              <w:rPr>
                <w:rFonts w:hint="default" w:ascii="Times New Roman" w:hAnsi="Times New Roman" w:cs="Times New Roman"/>
                <w:szCs w:val="24"/>
              </w:rPr>
              <w:t xml:space="preserve">Q：5.3  </w:t>
            </w:r>
          </w:p>
        </w:tc>
        <w:tc>
          <w:tcPr>
            <w:tcW w:w="10344" w:type="dxa"/>
            <w:vAlign w:val="center"/>
          </w:tcPr>
          <w:p>
            <w:pPr>
              <w:spacing w:line="360" w:lineRule="auto"/>
              <w:ind w:firstLine="420" w:firstLineChars="200"/>
              <w:rPr>
                <w:rFonts w:hint="default" w:ascii="Times New Roman" w:hAnsi="Times New Roman" w:cs="Times New Roman"/>
                <w:szCs w:val="24"/>
              </w:rPr>
            </w:pPr>
            <w:r>
              <w:rPr>
                <w:rFonts w:hint="default" w:ascii="Times New Roman" w:hAnsi="Times New Roman" w:cs="Times New Roman"/>
                <w:szCs w:val="24"/>
              </w:rPr>
              <w:t>最高管理者明确了各部门和各岗位的职责和权限，以确保管理体系符合各项标准的要求，并确保各个过程获得其预期输出，向最高管理者报告质量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同总经理</w:t>
            </w:r>
            <w:r>
              <w:rPr>
                <w:rFonts w:hint="eastAsia" w:cs="Times New Roman"/>
                <w:szCs w:val="24"/>
                <w:lang w:eastAsia="zh-CN"/>
              </w:rPr>
              <w:t>、管代</w:t>
            </w:r>
            <w:r>
              <w:rPr>
                <w:rFonts w:hint="default" w:ascii="Times New Roman" w:hAnsi="Times New Roman" w:cs="Times New Roman"/>
                <w:szCs w:val="24"/>
              </w:rPr>
              <w:t>交谈，对于自身职责权限比较清楚。现场询问管代、陪同人员，均了解其职责。</w:t>
            </w:r>
          </w:p>
        </w:tc>
        <w:tc>
          <w:tcPr>
            <w:tcW w:w="1054" w:type="dxa"/>
            <w:vAlign w:val="center"/>
          </w:tcPr>
          <w:p>
            <w:pPr>
              <w:jc w:val="center"/>
              <w:rPr>
                <w:rFonts w:hint="default" w:ascii="Times New Roman" w:hAnsi="Times New Roman" w:cs="Times New Roman"/>
                <w:sz w:val="24"/>
                <w:szCs w:val="24"/>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9" w:hRule="atLeast"/>
        </w:trPr>
        <w:tc>
          <w:tcPr>
            <w:tcW w:w="2019" w:type="dxa"/>
            <w:vAlign w:val="center"/>
          </w:tcPr>
          <w:p>
            <w:pPr>
              <w:rPr>
                <w:rFonts w:hint="default" w:ascii="Times New Roman" w:hAnsi="Times New Roman" w:cs="Times New Roman"/>
                <w:szCs w:val="24"/>
              </w:rPr>
            </w:pPr>
            <w:r>
              <w:rPr>
                <w:rFonts w:hint="default" w:ascii="Times New Roman" w:hAnsi="Times New Roman" w:cs="Times New Roman"/>
                <w:szCs w:val="24"/>
              </w:rPr>
              <w:t>应对风险和机会的措施</w:t>
            </w:r>
          </w:p>
        </w:tc>
        <w:tc>
          <w:tcPr>
            <w:tcW w:w="1292" w:type="dxa"/>
            <w:vAlign w:val="center"/>
          </w:tcPr>
          <w:p>
            <w:pPr>
              <w:rPr>
                <w:rFonts w:hint="default" w:ascii="Times New Roman" w:hAnsi="Times New Roman" w:cs="Times New Roman"/>
                <w:szCs w:val="24"/>
              </w:rPr>
            </w:pPr>
            <w:r>
              <w:rPr>
                <w:rFonts w:hint="default" w:ascii="Times New Roman" w:hAnsi="Times New Roman" w:cs="Times New Roman"/>
                <w:szCs w:val="24"/>
              </w:rPr>
              <w:t>Q：6.1</w:t>
            </w:r>
          </w:p>
        </w:tc>
        <w:tc>
          <w:tcPr>
            <w:tcW w:w="10344" w:type="dxa"/>
            <w:vAlign w:val="center"/>
          </w:tcPr>
          <w:p>
            <w:pPr>
              <w:spacing w:line="360" w:lineRule="auto"/>
              <w:ind w:firstLine="420" w:firstLineChars="200"/>
              <w:rPr>
                <w:rFonts w:hint="default" w:ascii="Times New Roman" w:hAnsi="Times New Roman" w:cs="Times New Roman"/>
                <w:szCs w:val="24"/>
              </w:rPr>
            </w:pPr>
            <w:r>
              <w:rPr>
                <w:rFonts w:hint="default" w:ascii="Times New Roman" w:hAnsi="Times New Roman" w:cs="Times New Roman"/>
                <w:szCs w:val="24"/>
              </w:rPr>
              <w:t>提供《风险和机遇评估分析表》，识别了风险和机遇来源、风险和机遇内容、管理措施、责任部门、实时时间、评价措施等：</w:t>
            </w:r>
          </w:p>
          <w:p>
            <w:pPr>
              <w:spacing w:line="360" w:lineRule="auto"/>
              <w:ind w:firstLine="420" w:firstLineChars="200"/>
              <w:rPr>
                <w:rFonts w:hint="default" w:ascii="Times New Roman" w:hAnsi="Times New Roman" w:cs="Times New Roman"/>
                <w:szCs w:val="24"/>
              </w:rPr>
            </w:pPr>
            <w:r>
              <w:rPr>
                <w:rFonts w:hint="default" w:ascii="Times New Roman" w:hAnsi="Times New Roman" w:cs="Times New Roman"/>
                <w:szCs w:val="24"/>
              </w:rPr>
              <w:t>风险、机遇：从客户开发、合同评审、产品交付、领导作用、信息交流、采购管理、仓库管理等方面进行分析评估。</w:t>
            </w:r>
            <w:r>
              <w:rPr>
                <w:rFonts w:hint="eastAsia" w:ascii="Times New Roman" w:hAnsi="Times New Roman" w:cs="Times New Roman"/>
                <w:szCs w:val="24"/>
              </w:rPr>
              <w:t>应对措施：与风险、机遇相适应。</w:t>
            </w:r>
          </w:p>
        </w:tc>
        <w:tc>
          <w:tcPr>
            <w:tcW w:w="1054" w:type="dxa"/>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atLeast"/>
        </w:trPr>
        <w:tc>
          <w:tcPr>
            <w:tcW w:w="2019" w:type="dxa"/>
            <w:vAlign w:val="center"/>
          </w:tcPr>
          <w:p>
            <w:pPr>
              <w:rPr>
                <w:rFonts w:hint="default" w:ascii="Times New Roman" w:hAnsi="Times New Roman" w:cs="Times New Roman"/>
                <w:szCs w:val="24"/>
              </w:rPr>
            </w:pPr>
            <w:r>
              <w:rPr>
                <w:rFonts w:hint="default" w:ascii="Times New Roman" w:hAnsi="Times New Roman" w:cs="Times New Roman"/>
                <w:szCs w:val="24"/>
              </w:rPr>
              <w:t>目标和措施计划（管理方案）</w:t>
            </w:r>
          </w:p>
        </w:tc>
        <w:tc>
          <w:tcPr>
            <w:tcW w:w="1292" w:type="dxa"/>
            <w:vAlign w:val="center"/>
          </w:tcPr>
          <w:p>
            <w:pPr>
              <w:rPr>
                <w:rFonts w:hint="default" w:ascii="Times New Roman" w:hAnsi="Times New Roman" w:cs="Times New Roman"/>
                <w:szCs w:val="24"/>
              </w:rPr>
            </w:pPr>
            <w:r>
              <w:rPr>
                <w:rFonts w:hint="default" w:ascii="Times New Roman" w:hAnsi="Times New Roman" w:cs="Times New Roman"/>
                <w:szCs w:val="24"/>
              </w:rPr>
              <w:t xml:space="preserve">Q：6.2  </w:t>
            </w:r>
          </w:p>
        </w:tc>
        <w:tc>
          <w:tcPr>
            <w:tcW w:w="10344" w:type="dxa"/>
            <w:vAlign w:val="center"/>
          </w:tcPr>
          <w:p>
            <w:pPr>
              <w:spacing w:line="360" w:lineRule="auto"/>
              <w:ind w:firstLine="420" w:firstLineChars="200"/>
              <w:rPr>
                <w:rFonts w:hint="default" w:ascii="Times New Roman" w:hAnsi="Times New Roman" w:cs="Times New Roman"/>
                <w:szCs w:val="24"/>
              </w:rPr>
            </w:pPr>
            <w:r>
              <w:rPr>
                <w:rFonts w:hint="default" w:ascii="Times New Roman" w:hAnsi="Times New Roman" w:cs="Times New Roman"/>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pPr>
              <w:spacing w:line="400" w:lineRule="exact"/>
              <w:ind w:firstLine="502" w:firstLineChars="200"/>
              <w:rPr>
                <w:rFonts w:hint="default" w:ascii="Times New Roman" w:hAnsi="Times New Roman" w:cs="Times New Roman"/>
                <w:b/>
                <w:bCs/>
                <w:spacing w:val="20"/>
                <w:szCs w:val="21"/>
              </w:rPr>
            </w:pPr>
            <w:r>
              <w:rPr>
                <w:rFonts w:hint="default" w:ascii="Times New Roman" w:hAnsi="Times New Roman" w:cs="Times New Roman"/>
                <w:b/>
                <w:bCs/>
                <w:spacing w:val="20"/>
                <w:szCs w:val="21"/>
              </w:rPr>
              <w:t>质量目标：</w:t>
            </w:r>
          </w:p>
          <w:p>
            <w:pPr>
              <w:pStyle w:val="3"/>
              <w:ind w:firstLine="502" w:firstLineChars="200"/>
              <w:jc w:val="both"/>
              <w:rPr>
                <w:rFonts w:hint="eastAsia" w:ascii="Times New Roman" w:hAnsi="Times New Roman" w:eastAsia="宋体" w:cs="Times New Roman"/>
                <w:b/>
                <w:bCs/>
                <w:spacing w:val="20"/>
                <w:kern w:val="2"/>
                <w:sz w:val="21"/>
                <w:szCs w:val="21"/>
                <w:lang w:val="en-US" w:eastAsia="zh-CN" w:bidi="ar-SA"/>
              </w:rPr>
            </w:pPr>
            <w:r>
              <w:rPr>
                <w:rFonts w:hint="eastAsia" w:ascii="Times New Roman" w:hAnsi="Times New Roman" w:eastAsia="宋体" w:cs="Times New Roman"/>
                <w:b/>
                <w:bCs/>
                <w:spacing w:val="20"/>
                <w:kern w:val="2"/>
                <w:sz w:val="21"/>
                <w:szCs w:val="21"/>
                <w:lang w:val="en-US" w:eastAsia="zh-CN" w:bidi="ar-SA"/>
              </w:rPr>
              <w:t>1产品出厂合格率100%；</w:t>
            </w:r>
          </w:p>
          <w:p>
            <w:pPr>
              <w:spacing w:line="400" w:lineRule="exact"/>
              <w:ind w:firstLine="502" w:firstLineChars="200"/>
              <w:rPr>
                <w:rFonts w:hint="eastAsia" w:ascii="Times New Roman" w:hAnsi="Times New Roman" w:eastAsia="宋体" w:cs="Times New Roman"/>
                <w:b/>
                <w:bCs/>
                <w:spacing w:val="20"/>
                <w:kern w:val="2"/>
                <w:sz w:val="21"/>
                <w:szCs w:val="21"/>
                <w:lang w:val="en-US" w:eastAsia="zh-CN" w:bidi="ar-SA"/>
              </w:rPr>
            </w:pPr>
            <w:r>
              <w:rPr>
                <w:rFonts w:hint="eastAsia" w:ascii="Times New Roman" w:hAnsi="Times New Roman" w:eastAsia="宋体" w:cs="Times New Roman"/>
                <w:b/>
                <w:bCs/>
                <w:spacing w:val="20"/>
                <w:kern w:val="2"/>
                <w:sz w:val="21"/>
                <w:szCs w:val="21"/>
                <w:lang w:val="en-US" w:eastAsia="zh-CN" w:bidi="ar-SA"/>
              </w:rPr>
              <w:t>2顾客满意度90分以上。</w:t>
            </w:r>
          </w:p>
          <w:p>
            <w:pPr>
              <w:spacing w:line="360" w:lineRule="auto"/>
              <w:ind w:firstLine="420" w:firstLineChars="200"/>
              <w:rPr>
                <w:rFonts w:hint="default" w:ascii="Times New Roman" w:hAnsi="Times New Roman" w:cs="Times New Roman"/>
                <w:szCs w:val="24"/>
              </w:rPr>
            </w:pPr>
            <w:r>
              <w:rPr>
                <w:rFonts w:hint="default" w:ascii="Times New Roman" w:hAnsi="Times New Roman" w:cs="Times New Roman"/>
                <w:szCs w:val="24"/>
              </w:rPr>
              <w:t>组织对公司质量、环境、职业健康安全目标、指标予以分解，并在相关职能层次部门建立分目标，查见《目标指标分解及措施表》</w:t>
            </w: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2409"/>
              <w:gridCol w:w="2920"/>
              <w:gridCol w:w="2880"/>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594" w:type="pct"/>
                  <w:gridSpan w:val="2"/>
                  <w:noWrap w:val="0"/>
                  <w:vAlign w:val="center"/>
                </w:tcPr>
                <w:p>
                  <w:pPr>
                    <w:spacing w:line="320" w:lineRule="exact"/>
                    <w:ind w:right="420"/>
                    <w:jc w:val="center"/>
                    <w:rPr>
                      <w:rFonts w:hint="eastAsia" w:ascii="宋体" w:hAnsi="宋体" w:cs="宋体"/>
                      <w:sz w:val="18"/>
                      <w:szCs w:val="18"/>
                    </w:rPr>
                  </w:pPr>
                  <w:r>
                    <w:rPr>
                      <w:rFonts w:hint="eastAsia" w:ascii="宋体" w:hAnsi="宋体" w:cs="宋体"/>
                      <w:sz w:val="18"/>
                      <w:szCs w:val="18"/>
                    </w:rPr>
                    <w:t>公司总目标</w:t>
                  </w:r>
                </w:p>
              </w:tc>
              <w:tc>
                <w:tcPr>
                  <w:tcW w:w="3405" w:type="pct"/>
                  <w:gridSpan w:val="3"/>
                  <w:noWrap w:val="0"/>
                  <w:vAlign w:val="center"/>
                </w:tcPr>
                <w:p>
                  <w:pPr>
                    <w:spacing w:line="320" w:lineRule="exact"/>
                    <w:ind w:right="420"/>
                    <w:jc w:val="center"/>
                    <w:rPr>
                      <w:rFonts w:hint="eastAsia" w:ascii="宋体" w:hAnsi="宋体" w:cs="宋体"/>
                      <w:sz w:val="18"/>
                      <w:szCs w:val="18"/>
                    </w:rPr>
                  </w:pPr>
                  <w:r>
                    <w:rPr>
                      <w:rFonts w:hint="eastAsia" w:ascii="宋体" w:hAnsi="宋体" w:cs="宋体"/>
                      <w:sz w:val="18"/>
                      <w:szCs w:val="18"/>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exact"/>
              </w:trPr>
              <w:tc>
                <w:tcPr>
                  <w:tcW w:w="1594" w:type="pct"/>
                  <w:gridSpan w:val="2"/>
                  <w:noWrap w:val="0"/>
                  <w:vAlign w:val="center"/>
                </w:tcPr>
                <w:p>
                  <w:pPr>
                    <w:numPr>
                      <w:ilvl w:val="0"/>
                      <w:numId w:val="1"/>
                    </w:numPr>
                    <w:ind w:left="0" w:leftChars="0" w:firstLine="0" w:firstLineChars="0"/>
                    <w:jc w:val="both"/>
                    <w:rPr>
                      <w:rFonts w:hint="eastAsia" w:ascii="宋体" w:hAnsi="宋体" w:cs="宋体"/>
                      <w:sz w:val="18"/>
                      <w:szCs w:val="18"/>
                      <w:lang w:val="en-US" w:eastAsia="zh-CN"/>
                    </w:rPr>
                  </w:pPr>
                  <w:r>
                    <w:rPr>
                      <w:rFonts w:hint="eastAsia" w:ascii="宋体" w:hAnsi="宋体" w:cs="宋体"/>
                      <w:sz w:val="18"/>
                      <w:szCs w:val="18"/>
                      <w:lang w:val="en-US" w:eastAsia="zh-CN"/>
                    </w:rPr>
                    <w:t>出厂合格率100%；</w:t>
                  </w:r>
                </w:p>
                <w:p>
                  <w:pPr>
                    <w:numPr>
                      <w:ilvl w:val="0"/>
                      <w:numId w:val="1"/>
                    </w:numPr>
                    <w:ind w:left="0" w:leftChars="0" w:firstLine="0" w:firstLineChars="0"/>
                    <w:jc w:val="both"/>
                    <w:rPr>
                      <w:rFonts w:hint="default" w:ascii="宋体" w:hAnsi="宋体" w:cs="宋体"/>
                      <w:sz w:val="18"/>
                      <w:szCs w:val="18"/>
                      <w:lang w:val="en-US" w:eastAsia="zh-CN"/>
                    </w:rPr>
                  </w:pPr>
                  <w:r>
                    <w:rPr>
                      <w:rFonts w:hint="default" w:ascii="宋体" w:hAnsi="宋体" w:cs="宋体"/>
                      <w:sz w:val="18"/>
                      <w:szCs w:val="18"/>
                      <w:lang w:val="en-US" w:eastAsia="zh-CN"/>
                    </w:rPr>
                    <w:t>顾客满意度</w:t>
                  </w:r>
                  <w:r>
                    <w:rPr>
                      <w:rFonts w:hint="eastAsia" w:ascii="Verdana" w:hAnsi="宋体"/>
                      <w:bCs/>
                      <w:color w:val="000000"/>
                      <w:sz w:val="18"/>
                      <w:szCs w:val="18"/>
                    </w:rPr>
                    <w:t>≥</w:t>
                  </w:r>
                  <w:r>
                    <w:rPr>
                      <w:rFonts w:hint="eastAsia" w:ascii="宋体" w:hAnsi="宋体" w:cs="宋体"/>
                      <w:sz w:val="18"/>
                      <w:szCs w:val="18"/>
                      <w:lang w:val="en-US" w:eastAsia="zh-CN"/>
                    </w:rPr>
                    <w:t>90分</w:t>
                  </w:r>
                  <w:r>
                    <w:rPr>
                      <w:rFonts w:hint="default" w:ascii="宋体" w:hAnsi="宋体" w:cs="宋体"/>
                      <w:sz w:val="18"/>
                      <w:szCs w:val="18"/>
                      <w:lang w:val="en-US" w:eastAsia="zh-CN"/>
                    </w:rPr>
                    <w:t>；</w:t>
                  </w:r>
                </w:p>
              </w:tc>
              <w:tc>
                <w:tcPr>
                  <w:tcW w:w="3405" w:type="pct"/>
                  <w:gridSpan w:val="3"/>
                  <w:noWrap w:val="0"/>
                  <w:vAlign w:val="center"/>
                </w:tcPr>
                <w:p>
                  <w:pPr>
                    <w:spacing w:line="400" w:lineRule="exact"/>
                    <w:jc w:val="both"/>
                    <w:rPr>
                      <w:rFonts w:hint="eastAsia" w:ascii="宋体" w:hAnsi="宋体" w:cs="宋体"/>
                      <w:sz w:val="18"/>
                      <w:szCs w:val="18"/>
                    </w:rPr>
                  </w:pPr>
                  <w:r>
                    <w:rPr>
                      <w:rFonts w:hint="eastAsia" w:ascii="宋体" w:hAnsi="宋体" w:cs="宋体"/>
                      <w:sz w:val="18"/>
                      <w:szCs w:val="18"/>
                    </w:rPr>
                    <w:t>产品出厂合格率100%；</w:t>
                  </w:r>
                </w:p>
                <w:p>
                  <w:pPr>
                    <w:spacing w:line="400" w:lineRule="exact"/>
                    <w:jc w:val="both"/>
                    <w:rPr>
                      <w:rFonts w:hint="eastAsia" w:ascii="宋体" w:hAnsi="宋体" w:eastAsia="宋体" w:cs="宋体"/>
                      <w:bCs/>
                      <w:sz w:val="18"/>
                      <w:szCs w:val="18"/>
                      <w:lang w:eastAsia="zh-CN"/>
                    </w:rPr>
                  </w:pPr>
                  <w:r>
                    <w:rPr>
                      <w:rFonts w:hint="eastAsia" w:ascii="宋体" w:hAnsi="宋体" w:cs="宋体"/>
                      <w:sz w:val="18"/>
                      <w:szCs w:val="18"/>
                    </w:rPr>
                    <w:t>顾客满意度达到</w:t>
                  </w:r>
                  <w:r>
                    <w:rPr>
                      <w:rFonts w:hint="eastAsia" w:ascii="宋体" w:hAnsi="宋体" w:cs="宋体"/>
                      <w:sz w:val="18"/>
                      <w:szCs w:val="18"/>
                      <w:lang w:val="en-US" w:eastAsia="zh-CN"/>
                    </w:rPr>
                    <w:t>96.4分</w:t>
                  </w: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exact"/>
              </w:trPr>
              <w:tc>
                <w:tcPr>
                  <w:tcW w:w="1594" w:type="pct"/>
                  <w:gridSpan w:val="2"/>
                  <w:noWrap w:val="0"/>
                  <w:vAlign w:val="center"/>
                </w:tcPr>
                <w:p>
                  <w:pPr>
                    <w:spacing w:line="320" w:lineRule="exact"/>
                    <w:ind w:right="420"/>
                    <w:jc w:val="center"/>
                    <w:rPr>
                      <w:rFonts w:hint="eastAsia" w:ascii="宋体" w:hAnsi="宋体" w:cs="宋体"/>
                      <w:sz w:val="18"/>
                      <w:szCs w:val="18"/>
                    </w:rPr>
                  </w:pPr>
                  <w:r>
                    <w:rPr>
                      <w:rFonts w:hint="eastAsia" w:ascii="宋体" w:hAnsi="宋体" w:cs="宋体"/>
                      <w:sz w:val="18"/>
                      <w:szCs w:val="18"/>
                    </w:rPr>
                    <w:t>部 门 目 标</w:t>
                  </w:r>
                </w:p>
              </w:tc>
              <w:tc>
                <w:tcPr>
                  <w:tcW w:w="1443" w:type="pct"/>
                  <w:noWrap w:val="0"/>
                  <w:vAlign w:val="center"/>
                </w:tcPr>
                <w:p>
                  <w:pPr>
                    <w:spacing w:line="320" w:lineRule="exact"/>
                    <w:ind w:right="420"/>
                    <w:jc w:val="center"/>
                    <w:rPr>
                      <w:rFonts w:hint="eastAsia" w:ascii="宋体" w:hAnsi="宋体" w:cs="宋体"/>
                      <w:sz w:val="18"/>
                      <w:szCs w:val="18"/>
                    </w:rPr>
                  </w:pPr>
                  <w:r>
                    <w:rPr>
                      <w:rFonts w:hint="eastAsia" w:ascii="宋体" w:hAnsi="宋体" w:cs="宋体"/>
                      <w:sz w:val="18"/>
                      <w:szCs w:val="18"/>
                    </w:rPr>
                    <w:t>部门目标完成情况</w:t>
                  </w:r>
                </w:p>
              </w:tc>
              <w:tc>
                <w:tcPr>
                  <w:tcW w:w="1423" w:type="pct"/>
                  <w:noWrap w:val="0"/>
                  <w:vAlign w:val="center"/>
                </w:tcPr>
                <w:p>
                  <w:pPr>
                    <w:spacing w:line="320" w:lineRule="exact"/>
                    <w:ind w:right="420"/>
                    <w:jc w:val="center"/>
                    <w:rPr>
                      <w:rFonts w:hint="eastAsia" w:ascii="宋体" w:hAnsi="宋体" w:cs="宋体"/>
                      <w:sz w:val="18"/>
                      <w:szCs w:val="18"/>
                    </w:rPr>
                  </w:pPr>
                  <w:r>
                    <w:rPr>
                      <w:rFonts w:hint="eastAsia" w:ascii="宋体" w:hAnsi="宋体" w:cs="宋体"/>
                      <w:sz w:val="18"/>
                      <w:szCs w:val="18"/>
                    </w:rPr>
                    <w:t>考核方式</w:t>
                  </w:r>
                </w:p>
              </w:tc>
              <w:tc>
                <w:tcPr>
                  <w:tcW w:w="538" w:type="pct"/>
                  <w:noWrap w:val="0"/>
                  <w:vAlign w:val="center"/>
                </w:tcPr>
                <w:p>
                  <w:pPr>
                    <w:spacing w:line="320" w:lineRule="exact"/>
                    <w:ind w:right="42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exact"/>
              </w:trPr>
              <w:tc>
                <w:tcPr>
                  <w:tcW w:w="403" w:type="pct"/>
                  <w:vMerge w:val="restart"/>
                  <w:noWrap w:val="0"/>
                  <w:vAlign w:val="center"/>
                </w:tcPr>
                <w:p>
                  <w:pPr>
                    <w:spacing w:line="320" w:lineRule="exact"/>
                    <w:ind w:right="420"/>
                    <w:jc w:val="both"/>
                    <w:rPr>
                      <w:rFonts w:hint="eastAsia" w:ascii="宋体" w:hAnsi="宋体" w:eastAsia="宋体" w:cs="宋体"/>
                      <w:sz w:val="18"/>
                      <w:szCs w:val="18"/>
                      <w:lang w:eastAsia="zh-CN"/>
                    </w:rPr>
                  </w:pPr>
                  <w:r>
                    <w:rPr>
                      <w:rFonts w:hint="eastAsia" w:ascii="宋体" w:hAnsi="宋体" w:cs="宋体"/>
                      <w:sz w:val="18"/>
                      <w:szCs w:val="18"/>
                      <w:lang w:eastAsia="zh-CN"/>
                    </w:rPr>
                    <w:t>行政部</w:t>
                  </w:r>
                </w:p>
              </w:tc>
              <w:tc>
                <w:tcPr>
                  <w:tcW w:w="1191" w:type="pct"/>
                  <w:noWrap w:val="0"/>
                  <w:vAlign w:val="center"/>
                </w:tcPr>
                <w:p>
                  <w:pPr>
                    <w:ind w:right="420"/>
                    <w:jc w:val="both"/>
                    <w:rPr>
                      <w:rFonts w:hint="eastAsia"/>
                      <w:sz w:val="18"/>
                      <w:szCs w:val="18"/>
                      <w:lang w:eastAsia="zh-CN"/>
                    </w:rPr>
                  </w:pPr>
                  <w:r>
                    <w:rPr>
                      <w:rFonts w:hint="eastAsia"/>
                      <w:sz w:val="18"/>
                      <w:szCs w:val="18"/>
                    </w:rPr>
                    <w:t>人员招聘及时率</w:t>
                  </w:r>
                  <w:r>
                    <w:rPr>
                      <w:rFonts w:hint="eastAsia"/>
                      <w:sz w:val="18"/>
                      <w:szCs w:val="18"/>
                      <w:lang w:eastAsia="zh-CN"/>
                    </w:rPr>
                    <w:t>；</w:t>
                  </w:r>
                </w:p>
              </w:tc>
              <w:tc>
                <w:tcPr>
                  <w:tcW w:w="1443" w:type="pct"/>
                  <w:noWrap w:val="0"/>
                  <w:vAlign w:val="center"/>
                </w:tcPr>
                <w:p>
                  <w:pPr>
                    <w:jc w:val="both"/>
                    <w:rPr>
                      <w:rFonts w:hint="eastAsia" w:ascii="宋体" w:hAnsi="宋体" w:cs="宋体"/>
                      <w:sz w:val="18"/>
                      <w:szCs w:val="18"/>
                    </w:rPr>
                  </w:pPr>
                  <w:r>
                    <w:rPr>
                      <w:rFonts w:hint="eastAsia" w:ascii="宋体" w:hAnsi="宋体" w:cs="宋体"/>
                      <w:sz w:val="18"/>
                      <w:szCs w:val="18"/>
                    </w:rPr>
                    <w:t>根据岗位编制及岗位需求，一周内人员招聘到位为及时</w:t>
                  </w:r>
                  <w:r>
                    <w:rPr>
                      <w:rFonts w:hint="eastAsia" w:ascii="宋体" w:hAnsi="宋体" w:cs="宋体"/>
                      <w:sz w:val="18"/>
                      <w:szCs w:val="18"/>
                      <w:lang w:eastAsia="zh-CN"/>
                    </w:rPr>
                    <w:t>，</w:t>
                  </w:r>
                  <w:r>
                    <w:rPr>
                      <w:rFonts w:hint="eastAsia" w:ascii="宋体" w:hAnsi="宋体" w:cs="宋体"/>
                      <w:sz w:val="18"/>
                      <w:szCs w:val="18"/>
                    </w:rPr>
                    <w:t>及时率=及时招聘人数/需求人数×100%</w:t>
                  </w:r>
                </w:p>
              </w:tc>
              <w:tc>
                <w:tcPr>
                  <w:tcW w:w="1423" w:type="pct"/>
                  <w:noWrap w:val="0"/>
                  <w:vAlign w:val="center"/>
                </w:tcPr>
                <w:p>
                  <w:pPr>
                    <w:jc w:val="both"/>
                    <w:rPr>
                      <w:rFonts w:hint="eastAsia" w:ascii="宋体" w:hAnsi="宋体" w:cs="宋体"/>
                      <w:sz w:val="18"/>
                      <w:szCs w:val="18"/>
                    </w:rPr>
                  </w:pPr>
                  <w:r>
                    <w:rPr>
                      <w:rFonts w:hint="eastAsia" w:ascii="宋体" w:hAnsi="宋体" w:cs="宋体"/>
                      <w:sz w:val="18"/>
                      <w:szCs w:val="18"/>
                    </w:rPr>
                    <w:t>及时率=及时招聘人数/需求人数×100%</w:t>
                  </w:r>
                </w:p>
              </w:tc>
              <w:tc>
                <w:tcPr>
                  <w:tcW w:w="538" w:type="pct"/>
                  <w:noWrap w:val="0"/>
                  <w:vAlign w:val="center"/>
                </w:tcPr>
                <w:p>
                  <w:pPr>
                    <w:jc w:val="center"/>
                    <w:rPr>
                      <w:rFonts w:hint="eastAsia" w:ascii="宋体" w:hAnsi="宋体" w:eastAsia="宋体" w:cs="宋体"/>
                      <w:sz w:val="18"/>
                      <w:szCs w:val="18"/>
                      <w:lang w:eastAsia="zh-CN"/>
                    </w:rPr>
                  </w:pPr>
                  <w:r>
                    <w:rPr>
                      <w:rFonts w:hint="eastAsia" w:ascii="宋体" w:hAnsi="宋体" w:cs="宋体"/>
                      <w:sz w:val="18"/>
                      <w:szCs w:val="18"/>
                      <w:lang w:eastAsia="zh-CN"/>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403" w:type="pct"/>
                  <w:vMerge w:val="continue"/>
                  <w:noWrap w:val="0"/>
                  <w:vAlign w:val="center"/>
                </w:tcPr>
                <w:p>
                  <w:pPr>
                    <w:spacing w:line="320" w:lineRule="exact"/>
                    <w:ind w:right="420"/>
                    <w:jc w:val="both"/>
                    <w:rPr>
                      <w:rFonts w:hint="eastAsia" w:ascii="宋体" w:hAnsi="宋体" w:cs="宋体"/>
                      <w:sz w:val="18"/>
                      <w:szCs w:val="18"/>
                      <w:lang w:eastAsia="zh-CN"/>
                    </w:rPr>
                  </w:pPr>
                </w:p>
              </w:tc>
              <w:tc>
                <w:tcPr>
                  <w:tcW w:w="1191" w:type="pct"/>
                  <w:noWrap w:val="0"/>
                  <w:vAlign w:val="center"/>
                </w:tcPr>
                <w:p>
                  <w:pPr>
                    <w:ind w:right="420"/>
                    <w:jc w:val="both"/>
                    <w:rPr>
                      <w:rFonts w:hint="eastAsia"/>
                      <w:sz w:val="18"/>
                      <w:szCs w:val="18"/>
                      <w:lang w:eastAsia="zh-CN"/>
                    </w:rPr>
                  </w:pPr>
                  <w:r>
                    <w:rPr>
                      <w:rFonts w:hint="eastAsia"/>
                      <w:sz w:val="18"/>
                      <w:szCs w:val="18"/>
                      <w:lang w:eastAsia="zh-CN"/>
                    </w:rPr>
                    <w:t>体系认证审核严重不符合项为0</w:t>
                  </w:r>
                </w:p>
              </w:tc>
              <w:tc>
                <w:tcPr>
                  <w:tcW w:w="1443" w:type="pct"/>
                  <w:noWrap w:val="0"/>
                  <w:vAlign w:val="center"/>
                </w:tcPr>
                <w:p>
                  <w:pPr>
                    <w:jc w:val="both"/>
                    <w:rPr>
                      <w:rFonts w:hint="eastAsia" w:ascii="宋体" w:hAnsi="宋体" w:cs="宋体"/>
                      <w:sz w:val="18"/>
                      <w:szCs w:val="18"/>
                    </w:rPr>
                  </w:pPr>
                  <w:r>
                    <w:rPr>
                      <w:rFonts w:hint="eastAsia"/>
                      <w:sz w:val="18"/>
                      <w:szCs w:val="18"/>
                      <w:lang w:eastAsia="zh-CN"/>
                    </w:rPr>
                    <w:t>体系认证审核严重不符合项为0</w:t>
                  </w:r>
                </w:p>
              </w:tc>
              <w:tc>
                <w:tcPr>
                  <w:tcW w:w="1423" w:type="pct"/>
                  <w:noWrap w:val="0"/>
                  <w:vAlign w:val="center"/>
                </w:tcPr>
                <w:p>
                  <w:pPr>
                    <w:jc w:val="both"/>
                    <w:rPr>
                      <w:rFonts w:hint="eastAsia" w:ascii="宋体" w:hAnsi="宋体" w:eastAsia="宋体" w:cs="宋体"/>
                      <w:sz w:val="18"/>
                      <w:szCs w:val="18"/>
                      <w:lang w:eastAsia="zh-CN"/>
                    </w:rPr>
                  </w:pPr>
                  <w:r>
                    <w:rPr>
                      <w:rFonts w:hint="eastAsia" w:ascii="宋体" w:hAnsi="宋体" w:cs="宋体"/>
                      <w:sz w:val="18"/>
                      <w:szCs w:val="18"/>
                      <w:lang w:eastAsia="zh-CN"/>
                    </w:rPr>
                    <w:t>通过每年一次的内审检查</w:t>
                  </w:r>
                </w:p>
              </w:tc>
              <w:tc>
                <w:tcPr>
                  <w:tcW w:w="538" w:type="pct"/>
                  <w:noWrap w:val="0"/>
                  <w:vAlign w:val="center"/>
                </w:tcPr>
                <w:p>
                  <w:pPr>
                    <w:jc w:val="center"/>
                    <w:rPr>
                      <w:rFonts w:hint="eastAsia" w:ascii="宋体" w:hAnsi="宋体" w:cs="宋体"/>
                      <w:sz w:val="18"/>
                      <w:szCs w:val="18"/>
                      <w:lang w:eastAsia="zh-CN"/>
                    </w:rPr>
                  </w:pPr>
                  <w:r>
                    <w:rPr>
                      <w:rFonts w:hint="eastAsia" w:ascii="宋体" w:hAnsi="宋体" w:cs="宋体"/>
                      <w:sz w:val="18"/>
                      <w:szCs w:val="18"/>
                      <w:lang w:eastAsia="zh-CN"/>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403" w:type="pct"/>
                  <w:vMerge w:val="continue"/>
                  <w:noWrap w:val="0"/>
                  <w:vAlign w:val="center"/>
                </w:tcPr>
                <w:p>
                  <w:pPr>
                    <w:spacing w:line="320" w:lineRule="exact"/>
                    <w:ind w:right="420"/>
                    <w:jc w:val="both"/>
                    <w:rPr>
                      <w:rFonts w:hint="eastAsia" w:ascii="宋体" w:hAnsi="宋体" w:cs="宋体"/>
                      <w:sz w:val="18"/>
                      <w:szCs w:val="18"/>
                      <w:lang w:eastAsia="zh-CN"/>
                    </w:rPr>
                  </w:pPr>
                </w:p>
              </w:tc>
              <w:tc>
                <w:tcPr>
                  <w:tcW w:w="1191" w:type="pct"/>
                  <w:noWrap w:val="0"/>
                  <w:vAlign w:val="center"/>
                </w:tcPr>
                <w:p>
                  <w:pPr>
                    <w:ind w:right="420"/>
                    <w:jc w:val="both"/>
                    <w:rPr>
                      <w:rFonts w:hint="eastAsia"/>
                      <w:sz w:val="18"/>
                      <w:szCs w:val="18"/>
                      <w:lang w:eastAsia="zh-CN"/>
                    </w:rPr>
                  </w:pPr>
                  <w:r>
                    <w:rPr>
                      <w:rFonts w:hint="eastAsia"/>
                      <w:sz w:val="18"/>
                      <w:szCs w:val="18"/>
                    </w:rPr>
                    <w:t>培训计划未按时完成次数</w:t>
                  </w:r>
                  <w:r>
                    <w:rPr>
                      <w:rFonts w:hint="eastAsia" w:ascii="宋体" w:hAnsi="宋体"/>
                      <w:sz w:val="18"/>
                      <w:szCs w:val="18"/>
                    </w:rPr>
                    <w:t>≤</w:t>
                  </w:r>
                  <w:r>
                    <w:rPr>
                      <w:rFonts w:hint="eastAsia"/>
                      <w:sz w:val="18"/>
                      <w:szCs w:val="18"/>
                    </w:rPr>
                    <w:t>1次</w:t>
                  </w:r>
                </w:p>
              </w:tc>
              <w:tc>
                <w:tcPr>
                  <w:tcW w:w="1443" w:type="pct"/>
                  <w:noWrap w:val="0"/>
                  <w:vAlign w:val="center"/>
                </w:tcPr>
                <w:p>
                  <w:pPr>
                    <w:jc w:val="both"/>
                    <w:rPr>
                      <w:rFonts w:hint="default"/>
                      <w:sz w:val="18"/>
                      <w:szCs w:val="18"/>
                      <w:lang w:val="en-US" w:eastAsia="zh-CN"/>
                    </w:rPr>
                  </w:pPr>
                  <w:r>
                    <w:rPr>
                      <w:rFonts w:hint="eastAsia"/>
                      <w:sz w:val="18"/>
                      <w:szCs w:val="18"/>
                      <w:lang w:val="en-US" w:eastAsia="zh-CN"/>
                    </w:rPr>
                    <w:t>培训计划未完成次数为零</w:t>
                  </w:r>
                </w:p>
              </w:tc>
              <w:tc>
                <w:tcPr>
                  <w:tcW w:w="1423" w:type="pct"/>
                  <w:noWrap w:val="0"/>
                  <w:vAlign w:val="center"/>
                </w:tcPr>
                <w:p>
                  <w:pPr>
                    <w:jc w:val="both"/>
                    <w:rPr>
                      <w:rFonts w:hint="default" w:ascii="宋体" w:hAnsi="宋体" w:cs="宋体"/>
                      <w:sz w:val="18"/>
                      <w:szCs w:val="18"/>
                      <w:lang w:val="en-US" w:eastAsia="zh-CN"/>
                    </w:rPr>
                  </w:pPr>
                  <w:r>
                    <w:rPr>
                      <w:rFonts w:hint="eastAsia" w:ascii="宋体" w:hAnsi="宋体" w:cs="宋体"/>
                      <w:sz w:val="18"/>
                      <w:szCs w:val="18"/>
                      <w:lang w:eastAsia="zh-CN"/>
                    </w:rPr>
                    <w:t>未完成次数</w:t>
                  </w:r>
                  <w:r>
                    <w:rPr>
                      <w:rFonts w:hint="eastAsia" w:ascii="宋体" w:hAnsi="宋体" w:cs="宋体"/>
                      <w:sz w:val="18"/>
                      <w:szCs w:val="18"/>
                      <w:lang w:val="en-US" w:eastAsia="zh-CN"/>
                    </w:rPr>
                    <w:t>=总培训计划次数-实际培训计划次数</w:t>
                  </w:r>
                </w:p>
              </w:tc>
              <w:tc>
                <w:tcPr>
                  <w:tcW w:w="538" w:type="pct"/>
                  <w:noWrap w:val="0"/>
                  <w:vAlign w:val="center"/>
                </w:tcPr>
                <w:p>
                  <w:pPr>
                    <w:jc w:val="center"/>
                    <w:rPr>
                      <w:rFonts w:hint="eastAsia" w:ascii="宋体" w:hAnsi="宋体" w:cs="宋体"/>
                      <w:sz w:val="18"/>
                      <w:szCs w:val="18"/>
                      <w:lang w:eastAsia="zh-CN"/>
                    </w:rPr>
                  </w:pPr>
                  <w:r>
                    <w:rPr>
                      <w:rFonts w:hint="eastAsia" w:ascii="宋体" w:hAnsi="宋体" w:cs="宋体"/>
                      <w:sz w:val="18"/>
                      <w:szCs w:val="18"/>
                      <w:lang w:eastAsia="zh-CN"/>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03" w:type="pct"/>
                  <w:vMerge w:val="restart"/>
                  <w:noWrap w:val="0"/>
                  <w:vAlign w:val="center"/>
                </w:tcPr>
                <w:p>
                  <w:pPr>
                    <w:spacing w:line="320" w:lineRule="exact"/>
                    <w:ind w:right="420"/>
                    <w:jc w:val="lef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供应仓储部</w:t>
                  </w:r>
                </w:p>
              </w:tc>
              <w:tc>
                <w:tcPr>
                  <w:tcW w:w="1191" w:type="pct"/>
                  <w:noWrap w:val="0"/>
                  <w:vAlign w:val="center"/>
                </w:tcPr>
                <w:p>
                  <w:pPr>
                    <w:pStyle w:val="4"/>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default" w:ascii="宋体" w:hAnsi="宋体" w:cs="宋体"/>
                      <w:sz w:val="18"/>
                      <w:szCs w:val="18"/>
                      <w:lang w:val="en-US" w:eastAsia="zh-CN"/>
                    </w:rPr>
                  </w:pPr>
                  <w:r>
                    <w:rPr>
                      <w:rFonts w:hint="eastAsia"/>
                      <w:sz w:val="18"/>
                      <w:szCs w:val="18"/>
                    </w:rPr>
                    <w:t>未及时采购次数</w:t>
                  </w:r>
                  <w:r>
                    <w:rPr>
                      <w:rFonts w:hint="eastAsia" w:ascii="宋体" w:hAnsi="宋体"/>
                      <w:sz w:val="18"/>
                      <w:szCs w:val="18"/>
                    </w:rPr>
                    <w:t>≤</w:t>
                  </w:r>
                  <w:r>
                    <w:rPr>
                      <w:rFonts w:hint="eastAsia"/>
                      <w:sz w:val="18"/>
                      <w:szCs w:val="18"/>
                    </w:rPr>
                    <w:t>1次</w:t>
                  </w:r>
                </w:p>
              </w:tc>
              <w:tc>
                <w:tcPr>
                  <w:tcW w:w="1443" w:type="pct"/>
                  <w:noWrap w:val="0"/>
                  <w:vAlign w:val="center"/>
                </w:tcPr>
                <w:p>
                  <w:pPr>
                    <w:spacing w:before="50" w:line="0" w:lineRule="atLeast"/>
                    <w:jc w:val="both"/>
                    <w:rPr>
                      <w:rFonts w:hint="eastAsia" w:ascii="宋体" w:hAnsi="宋体" w:eastAsia="宋体" w:cs="宋体"/>
                      <w:sz w:val="18"/>
                      <w:szCs w:val="18"/>
                      <w:lang w:val="en-US" w:eastAsia="zh-CN"/>
                    </w:rPr>
                  </w:pPr>
                  <w:r>
                    <w:rPr>
                      <w:rFonts w:hint="eastAsia" w:ascii="宋体" w:hAnsi="宋体" w:cs="宋体"/>
                      <w:sz w:val="18"/>
                      <w:szCs w:val="18"/>
                      <w:lang w:val="en-US" w:eastAsia="zh-CN"/>
                    </w:rPr>
                    <w:t>未及时采购次数为零</w:t>
                  </w:r>
                </w:p>
              </w:tc>
              <w:tc>
                <w:tcPr>
                  <w:tcW w:w="1423" w:type="pct"/>
                  <w:noWrap w:val="0"/>
                  <w:vAlign w:val="center"/>
                </w:tcPr>
                <w:p>
                  <w:pPr>
                    <w:spacing w:line="320" w:lineRule="exact"/>
                    <w:ind w:right="-82"/>
                    <w:jc w:val="both"/>
                    <w:rPr>
                      <w:rFonts w:hint="eastAsia" w:ascii="宋体" w:hAnsi="宋体" w:cs="宋体"/>
                      <w:snapToGrid w:val="0"/>
                      <w:kern w:val="0"/>
                      <w:sz w:val="18"/>
                      <w:szCs w:val="18"/>
                    </w:rPr>
                  </w:pPr>
                  <w:r>
                    <w:rPr>
                      <w:rFonts w:hint="eastAsia" w:ascii="宋体" w:hAnsi="宋体" w:cs="宋体"/>
                      <w:snapToGrid w:val="0"/>
                      <w:kern w:val="0"/>
                      <w:sz w:val="18"/>
                      <w:szCs w:val="18"/>
                    </w:rPr>
                    <w:t>物资入厂时间，超过物资采购规定的交期2天，视为未及时采购</w:t>
                  </w:r>
                </w:p>
              </w:tc>
              <w:tc>
                <w:tcPr>
                  <w:tcW w:w="538" w:type="pct"/>
                  <w:noWrap w:val="0"/>
                  <w:vAlign w:val="center"/>
                </w:tcPr>
                <w:p>
                  <w:pPr>
                    <w:spacing w:line="320" w:lineRule="exact"/>
                    <w:ind w:right="-82"/>
                    <w:jc w:val="center"/>
                    <w:rPr>
                      <w:rFonts w:hint="eastAsia" w:ascii="宋体" w:hAnsi="宋体" w:eastAsia="宋体" w:cs="宋体"/>
                      <w:snapToGrid w:val="0"/>
                      <w:kern w:val="0"/>
                      <w:sz w:val="18"/>
                      <w:szCs w:val="18"/>
                      <w:lang w:eastAsia="zh-CN"/>
                    </w:rPr>
                  </w:pPr>
                  <w:r>
                    <w:rPr>
                      <w:rFonts w:hint="eastAsia" w:ascii="宋体" w:hAnsi="宋体" w:cs="宋体"/>
                      <w:sz w:val="18"/>
                      <w:szCs w:val="18"/>
                      <w:lang w:eastAsia="zh-CN"/>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exact"/>
              </w:trPr>
              <w:tc>
                <w:tcPr>
                  <w:tcW w:w="403" w:type="pct"/>
                  <w:vMerge w:val="continue"/>
                  <w:noWrap w:val="0"/>
                  <w:vAlign w:val="center"/>
                </w:tcPr>
                <w:p>
                  <w:pPr>
                    <w:spacing w:line="320" w:lineRule="exact"/>
                    <w:ind w:right="420"/>
                    <w:jc w:val="left"/>
                    <w:rPr>
                      <w:rFonts w:hint="eastAsia" w:ascii="宋体" w:hAnsi="宋体" w:cs="宋体"/>
                      <w:sz w:val="18"/>
                      <w:szCs w:val="18"/>
                      <w:lang w:eastAsia="zh-CN"/>
                    </w:rPr>
                  </w:pPr>
                </w:p>
              </w:tc>
              <w:tc>
                <w:tcPr>
                  <w:tcW w:w="1191" w:type="pct"/>
                  <w:noWrap w:val="0"/>
                  <w:vAlign w:val="center"/>
                </w:tcPr>
                <w:p>
                  <w:pPr>
                    <w:pStyle w:val="4"/>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sz w:val="18"/>
                      <w:szCs w:val="18"/>
                    </w:rPr>
                  </w:pPr>
                  <w:r>
                    <w:rPr>
                      <w:rFonts w:hint="default" w:ascii="宋体" w:hAnsi="宋体" w:cs="宋体"/>
                      <w:spacing w:val="0"/>
                      <w:sz w:val="18"/>
                      <w:szCs w:val="18"/>
                      <w:lang w:val="en-US" w:eastAsia="zh-CN"/>
                    </w:rPr>
                    <w:t>建立合格供方，确保采购产品100%合格</w:t>
                  </w:r>
                </w:p>
              </w:tc>
              <w:tc>
                <w:tcPr>
                  <w:tcW w:w="1443" w:type="pct"/>
                  <w:noWrap w:val="0"/>
                  <w:vAlign w:val="center"/>
                </w:tcPr>
                <w:p>
                  <w:pPr>
                    <w:pStyle w:val="4"/>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宋体" w:hAnsi="宋体" w:cs="宋体"/>
                      <w:sz w:val="18"/>
                      <w:szCs w:val="18"/>
                      <w:lang w:val="en-US" w:eastAsia="zh-CN"/>
                    </w:rPr>
                  </w:pPr>
                  <w:r>
                    <w:rPr>
                      <w:rFonts w:hint="eastAsia" w:ascii="宋体" w:hAnsi="宋体" w:cs="宋体"/>
                      <w:sz w:val="18"/>
                      <w:szCs w:val="18"/>
                    </w:rPr>
                    <w:t>采购产品100%合格；《（</w:t>
                  </w:r>
                  <w:r>
                    <w:rPr>
                      <w:rFonts w:hint="eastAsia" w:ascii="宋体" w:hAnsi="宋体" w:cs="宋体"/>
                      <w:sz w:val="18"/>
                      <w:szCs w:val="18"/>
                      <w:lang w:val="en-US" w:eastAsia="zh-CN"/>
                    </w:rPr>
                    <w:t>10</w:t>
                  </w:r>
                  <w:r>
                    <w:rPr>
                      <w:rFonts w:hint="eastAsia" w:ascii="宋体" w:hAnsi="宋体" w:cs="宋体"/>
                      <w:sz w:val="18"/>
                      <w:szCs w:val="18"/>
                    </w:rPr>
                    <w:t>÷</w:t>
                  </w:r>
                  <w:r>
                    <w:rPr>
                      <w:rFonts w:hint="eastAsia" w:ascii="宋体" w:hAnsi="宋体" w:cs="宋体"/>
                      <w:sz w:val="18"/>
                      <w:szCs w:val="18"/>
                      <w:lang w:val="en-US" w:eastAsia="zh-CN"/>
                    </w:rPr>
                    <w:t>10</w:t>
                  </w:r>
                  <w:r>
                    <w:rPr>
                      <w:rFonts w:hint="eastAsia" w:ascii="宋体" w:hAnsi="宋体" w:cs="宋体"/>
                      <w:sz w:val="18"/>
                      <w:szCs w:val="18"/>
                    </w:rPr>
                    <w:t>）×100%》=100%</w:t>
                  </w:r>
                </w:p>
              </w:tc>
              <w:tc>
                <w:tcPr>
                  <w:tcW w:w="1423" w:type="pct"/>
                  <w:noWrap w:val="0"/>
                  <w:vAlign w:val="center"/>
                </w:tcPr>
                <w:p>
                  <w:pPr>
                    <w:pStyle w:val="4"/>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宋体" w:hAnsi="宋体" w:cs="宋体"/>
                      <w:snapToGrid w:val="0"/>
                      <w:kern w:val="0"/>
                      <w:sz w:val="18"/>
                      <w:szCs w:val="18"/>
                    </w:rPr>
                  </w:pPr>
                  <w:r>
                    <w:rPr>
                      <w:rFonts w:hint="eastAsia"/>
                      <w:sz w:val="18"/>
                      <w:szCs w:val="18"/>
                    </w:rPr>
                    <w:t>在策划的供方评价时间内未实施评价，视为不及时</w:t>
                  </w:r>
                </w:p>
              </w:tc>
              <w:tc>
                <w:tcPr>
                  <w:tcW w:w="538" w:type="pct"/>
                  <w:noWrap w:val="0"/>
                  <w:vAlign w:val="center"/>
                </w:tcPr>
                <w:p>
                  <w:pPr>
                    <w:pStyle w:val="4"/>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cs="宋体"/>
                      <w:sz w:val="18"/>
                      <w:szCs w:val="18"/>
                      <w:lang w:eastAsia="zh-CN"/>
                    </w:rPr>
                  </w:pPr>
                  <w:r>
                    <w:rPr>
                      <w:rFonts w:hint="eastAsia" w:ascii="宋体" w:hAnsi="宋体" w:cs="宋体"/>
                      <w:spacing w:val="0"/>
                      <w:sz w:val="18"/>
                      <w:szCs w:val="18"/>
                      <w:lang w:val="en-US" w:eastAsia="zh-CN"/>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trPr>
              <w:tc>
                <w:tcPr>
                  <w:tcW w:w="403" w:type="pct"/>
                  <w:vMerge w:val="restart"/>
                  <w:noWrap w:val="0"/>
                  <w:vAlign w:val="center"/>
                </w:tcPr>
                <w:p>
                  <w:pPr>
                    <w:pStyle w:val="4"/>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default" w:ascii="宋体" w:hAnsi="宋体" w:cs="宋体"/>
                      <w:spacing w:val="0"/>
                      <w:sz w:val="18"/>
                      <w:szCs w:val="18"/>
                      <w:lang w:val="en-US" w:eastAsia="zh-CN"/>
                    </w:rPr>
                  </w:pPr>
                  <w:r>
                    <w:rPr>
                      <w:rFonts w:hint="eastAsia" w:ascii="宋体" w:hAnsi="宋体" w:cs="宋体"/>
                      <w:sz w:val="18"/>
                      <w:szCs w:val="18"/>
                      <w:lang w:eastAsia="zh-CN"/>
                    </w:rPr>
                    <w:t>销售部</w:t>
                  </w:r>
                </w:p>
              </w:tc>
              <w:tc>
                <w:tcPr>
                  <w:tcW w:w="1191" w:type="pct"/>
                  <w:noWrap w:val="0"/>
                  <w:vAlign w:val="center"/>
                </w:tcPr>
                <w:p>
                  <w:pPr>
                    <w:pStyle w:val="4"/>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default" w:ascii="宋体" w:hAnsi="宋体" w:cs="宋体"/>
                      <w:spacing w:val="0"/>
                      <w:sz w:val="18"/>
                      <w:szCs w:val="18"/>
                      <w:lang w:val="en-US" w:eastAsia="zh-CN"/>
                    </w:rPr>
                  </w:pPr>
                  <w:r>
                    <w:rPr>
                      <w:rFonts w:hint="eastAsia" w:ascii="宋体" w:hAnsi="宋体" w:cs="宋体"/>
                      <w:sz w:val="18"/>
                      <w:szCs w:val="18"/>
                    </w:rPr>
                    <w:t>顾客满意度</w:t>
                  </w:r>
                  <w:r>
                    <w:rPr>
                      <w:rFonts w:hint="eastAsia" w:ascii="Verdana" w:hAnsi="宋体"/>
                      <w:bCs/>
                      <w:color w:val="000000"/>
                      <w:sz w:val="18"/>
                      <w:szCs w:val="18"/>
                    </w:rPr>
                    <w:t>≥</w:t>
                  </w:r>
                  <w:r>
                    <w:rPr>
                      <w:rFonts w:hint="default" w:ascii="宋体" w:hAnsi="宋体" w:cs="宋体"/>
                      <w:sz w:val="18"/>
                      <w:szCs w:val="18"/>
                      <w:lang w:val="en-US" w:eastAsia="zh-CN"/>
                    </w:rPr>
                    <w:t>9</w:t>
                  </w:r>
                  <w:r>
                    <w:rPr>
                      <w:rFonts w:hint="eastAsia" w:ascii="宋体" w:hAnsi="宋体" w:cs="宋体"/>
                      <w:sz w:val="18"/>
                      <w:szCs w:val="18"/>
                      <w:lang w:val="en-US" w:eastAsia="zh-CN"/>
                    </w:rPr>
                    <w:t>0分</w:t>
                  </w:r>
                </w:p>
              </w:tc>
              <w:tc>
                <w:tcPr>
                  <w:tcW w:w="1443" w:type="pct"/>
                  <w:noWrap w:val="0"/>
                  <w:vAlign w:val="center"/>
                </w:tcPr>
                <w:p>
                  <w:pPr>
                    <w:spacing w:before="50" w:line="0" w:lineRule="atLeast"/>
                    <w:jc w:val="both"/>
                    <w:rPr>
                      <w:rFonts w:hint="eastAsia" w:ascii="宋体" w:hAnsi="宋体" w:eastAsia="宋体" w:cs="宋体"/>
                      <w:sz w:val="18"/>
                      <w:szCs w:val="18"/>
                    </w:rPr>
                  </w:pPr>
                  <w:r>
                    <w:rPr>
                      <w:rFonts w:hint="eastAsia" w:ascii="宋体" w:hAnsi="宋体" w:cs="宋体"/>
                      <w:sz w:val="18"/>
                      <w:szCs w:val="18"/>
                    </w:rPr>
                    <w:t>顾客满意率达到</w:t>
                  </w:r>
                  <w:r>
                    <w:rPr>
                      <w:rFonts w:hint="eastAsia" w:ascii="宋体" w:hAnsi="宋体" w:eastAsia="宋体" w:cs="宋体"/>
                      <w:sz w:val="18"/>
                      <w:szCs w:val="18"/>
                    </w:rPr>
                    <w:t>9</w:t>
                  </w:r>
                  <w:r>
                    <w:rPr>
                      <w:rFonts w:hint="eastAsia" w:ascii="宋体" w:hAnsi="宋体" w:eastAsia="宋体" w:cs="宋体"/>
                      <w:sz w:val="18"/>
                      <w:szCs w:val="18"/>
                      <w:lang w:val="en-US" w:eastAsia="zh-CN"/>
                    </w:rPr>
                    <w:t>6.4分</w:t>
                  </w:r>
                  <w:r>
                    <w:rPr>
                      <w:rFonts w:hint="eastAsia" w:ascii="宋体" w:hAnsi="宋体" w:eastAsia="宋体" w:cs="宋体"/>
                      <w:sz w:val="18"/>
                      <w:szCs w:val="18"/>
                    </w:rPr>
                    <w:t>；(（ 570 +394）÷10=96.4</w:t>
                  </w:r>
                </w:p>
                <w:p>
                  <w:pPr>
                    <w:pStyle w:val="4"/>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default" w:ascii="宋体" w:hAnsi="宋体" w:cs="宋体"/>
                      <w:spacing w:val="0"/>
                      <w:sz w:val="18"/>
                      <w:szCs w:val="18"/>
                      <w:lang w:val="en-US" w:eastAsia="zh-CN"/>
                    </w:rPr>
                  </w:pPr>
                </w:p>
              </w:tc>
              <w:tc>
                <w:tcPr>
                  <w:tcW w:w="1423" w:type="pct"/>
                  <w:noWrap w:val="0"/>
                  <w:vAlign w:val="center"/>
                </w:tcPr>
                <w:p>
                  <w:pPr>
                    <w:ind w:right="420"/>
                    <w:jc w:val="both"/>
                    <w:rPr>
                      <w:rFonts w:hint="eastAsia" w:ascii="宋体" w:hAnsi="宋体" w:cs="宋体"/>
                      <w:sz w:val="18"/>
                      <w:szCs w:val="18"/>
                    </w:rPr>
                  </w:pPr>
                  <w:r>
                    <w:rPr>
                      <w:rFonts w:hint="eastAsia" w:ascii="宋体" w:hAnsi="宋体" w:cs="宋体"/>
                      <w:snapToGrid w:val="0"/>
                      <w:kern w:val="0"/>
                      <w:sz w:val="18"/>
                      <w:szCs w:val="18"/>
                    </w:rPr>
                    <w:t>顾客满意率=</w:t>
                  </w:r>
                  <w:r>
                    <w:rPr>
                      <w:rFonts w:hint="eastAsia" w:ascii="宋体" w:hAnsi="宋体" w:cs="宋体"/>
                      <w:sz w:val="18"/>
                      <w:szCs w:val="18"/>
                    </w:rPr>
                    <w:t>调查单位中满意总分数÷调查单位数；</w:t>
                  </w:r>
                </w:p>
                <w:p>
                  <w:pPr>
                    <w:pStyle w:val="4"/>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default" w:ascii="宋体" w:hAnsi="宋体" w:cs="宋体"/>
                      <w:spacing w:val="0"/>
                      <w:sz w:val="18"/>
                      <w:szCs w:val="18"/>
                      <w:lang w:val="en-US" w:eastAsia="zh-CN"/>
                    </w:rPr>
                  </w:pPr>
                </w:p>
              </w:tc>
              <w:tc>
                <w:tcPr>
                  <w:tcW w:w="538" w:type="pct"/>
                  <w:noWrap w:val="0"/>
                  <w:vAlign w:val="center"/>
                </w:tcPr>
                <w:p>
                  <w:pPr>
                    <w:pStyle w:val="4"/>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宋体" w:hAnsi="宋体" w:cs="宋体"/>
                      <w:spacing w:val="0"/>
                      <w:sz w:val="18"/>
                      <w:szCs w:val="18"/>
                      <w:lang w:val="en-US" w:eastAsia="zh-CN"/>
                    </w:rPr>
                  </w:pPr>
                  <w:r>
                    <w:rPr>
                      <w:rFonts w:hint="eastAsia" w:ascii="宋体" w:hAnsi="宋体" w:cs="宋体"/>
                      <w:spacing w:val="0"/>
                      <w:sz w:val="18"/>
                      <w:szCs w:val="18"/>
                      <w:lang w:val="en-US" w:eastAsia="zh-CN"/>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trPr>
              <w:tc>
                <w:tcPr>
                  <w:tcW w:w="403" w:type="pct"/>
                  <w:vMerge w:val="continue"/>
                  <w:noWrap w:val="0"/>
                  <w:vAlign w:val="center"/>
                </w:tcPr>
                <w:p>
                  <w:pPr>
                    <w:pStyle w:val="4"/>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default" w:ascii="宋体" w:hAnsi="宋体" w:cs="宋体"/>
                      <w:spacing w:val="0"/>
                      <w:sz w:val="18"/>
                      <w:szCs w:val="18"/>
                      <w:lang w:val="en-US" w:eastAsia="zh-CN"/>
                    </w:rPr>
                  </w:pPr>
                </w:p>
              </w:tc>
              <w:tc>
                <w:tcPr>
                  <w:tcW w:w="1191" w:type="pct"/>
                  <w:noWrap w:val="0"/>
                  <w:vAlign w:val="center"/>
                </w:tcPr>
                <w:p>
                  <w:pPr>
                    <w:pStyle w:val="4"/>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sz w:val="18"/>
                      <w:szCs w:val="18"/>
                    </w:rPr>
                  </w:pPr>
                  <w:r>
                    <w:rPr>
                      <w:rFonts w:hint="eastAsia"/>
                      <w:sz w:val="18"/>
                      <w:szCs w:val="18"/>
                    </w:rPr>
                    <w:t>销售订单交付及时率</w:t>
                  </w:r>
                  <w:r>
                    <w:rPr>
                      <w:rFonts w:hint="eastAsia" w:ascii="宋体" w:hAnsi="宋体"/>
                      <w:sz w:val="18"/>
                      <w:szCs w:val="18"/>
                    </w:rPr>
                    <w:t>≥80%</w:t>
                  </w:r>
                </w:p>
              </w:tc>
              <w:tc>
                <w:tcPr>
                  <w:tcW w:w="1443" w:type="pct"/>
                  <w:noWrap w:val="0"/>
                  <w:vAlign w:val="center"/>
                </w:tcPr>
                <w:p>
                  <w:pPr>
                    <w:pStyle w:val="4"/>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default" w:eastAsia="宋体"/>
                      <w:sz w:val="18"/>
                      <w:szCs w:val="18"/>
                      <w:lang w:val="en-US" w:eastAsia="zh-CN"/>
                    </w:rPr>
                  </w:pPr>
                  <w:r>
                    <w:rPr>
                      <w:rFonts w:hint="eastAsia"/>
                      <w:sz w:val="18"/>
                      <w:szCs w:val="18"/>
                    </w:rPr>
                    <w:t>销售订单交付及时率</w:t>
                  </w:r>
                  <w:r>
                    <w:rPr>
                      <w:rFonts w:hint="eastAsia"/>
                      <w:sz w:val="18"/>
                      <w:szCs w:val="18"/>
                      <w:lang w:val="en-US" w:eastAsia="zh-CN"/>
                    </w:rPr>
                    <w:t>100%；（150</w:t>
                  </w:r>
                  <w:r>
                    <w:rPr>
                      <w:rFonts w:hint="eastAsia" w:ascii="宋体" w:hAnsi="宋体" w:cs="宋体"/>
                      <w:sz w:val="18"/>
                      <w:szCs w:val="18"/>
                    </w:rPr>
                    <w:t>÷</w:t>
                  </w:r>
                  <w:r>
                    <w:rPr>
                      <w:rFonts w:hint="eastAsia" w:ascii="宋体" w:hAnsi="宋体" w:cs="宋体"/>
                      <w:sz w:val="18"/>
                      <w:szCs w:val="18"/>
                      <w:lang w:val="en-US" w:eastAsia="zh-CN"/>
                    </w:rPr>
                    <w:t>150</w:t>
                  </w:r>
                  <w:r>
                    <w:rPr>
                      <w:rFonts w:hint="eastAsia"/>
                      <w:sz w:val="18"/>
                      <w:szCs w:val="18"/>
                      <w:lang w:val="en-US" w:eastAsia="zh-CN"/>
                    </w:rPr>
                    <w:t>）</w:t>
                  </w:r>
                  <w:r>
                    <w:rPr>
                      <w:rFonts w:hint="eastAsia" w:ascii="宋体" w:hAnsi="宋体" w:cs="宋体"/>
                      <w:sz w:val="18"/>
                      <w:szCs w:val="18"/>
                    </w:rPr>
                    <w:t>×100%</w:t>
                  </w:r>
                  <w:r>
                    <w:rPr>
                      <w:rFonts w:hint="eastAsia" w:ascii="宋体" w:hAnsi="宋体" w:cs="宋体"/>
                      <w:sz w:val="18"/>
                      <w:szCs w:val="18"/>
                      <w:lang w:val="en-US" w:eastAsia="zh-CN"/>
                    </w:rPr>
                    <w:t>=</w:t>
                  </w:r>
                  <w:r>
                    <w:rPr>
                      <w:rFonts w:hint="eastAsia" w:ascii="宋体" w:hAnsi="宋体" w:cs="宋体"/>
                      <w:sz w:val="18"/>
                      <w:szCs w:val="18"/>
                    </w:rPr>
                    <w:t>100%</w:t>
                  </w:r>
                </w:p>
              </w:tc>
              <w:tc>
                <w:tcPr>
                  <w:tcW w:w="1423" w:type="pct"/>
                  <w:noWrap w:val="0"/>
                  <w:vAlign w:val="center"/>
                </w:tcPr>
                <w:p>
                  <w:pPr>
                    <w:pStyle w:val="4"/>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sz w:val="18"/>
                      <w:szCs w:val="18"/>
                    </w:rPr>
                  </w:pPr>
                  <w:r>
                    <w:rPr>
                      <w:rFonts w:hint="eastAsia"/>
                      <w:sz w:val="18"/>
                      <w:szCs w:val="18"/>
                    </w:rPr>
                    <w:t>销售订单交付及时率=在规定交期内完成交付的当期销售订单总数/当期销售订单总数</w:t>
                  </w:r>
                </w:p>
              </w:tc>
              <w:tc>
                <w:tcPr>
                  <w:tcW w:w="53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cs="宋体"/>
                      <w:spacing w:val="0"/>
                      <w:sz w:val="18"/>
                      <w:szCs w:val="18"/>
                      <w:lang w:val="en-US" w:eastAsia="zh-CN"/>
                    </w:rPr>
                  </w:pPr>
                  <w:r>
                    <w:rPr>
                      <w:rFonts w:hint="eastAsia" w:ascii="宋体" w:hAnsi="宋体" w:cs="宋体"/>
                      <w:sz w:val="18"/>
                      <w:szCs w:val="18"/>
                      <w:lang w:eastAsia="zh-CN"/>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trPr>
              <w:tc>
                <w:tcPr>
                  <w:tcW w:w="403" w:type="pct"/>
                  <w:vMerge w:val="continue"/>
                  <w:noWrap w:val="0"/>
                  <w:vAlign w:val="center"/>
                </w:tcPr>
                <w:p>
                  <w:pPr>
                    <w:pStyle w:val="4"/>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default" w:ascii="宋体" w:hAnsi="宋体" w:cs="宋体"/>
                      <w:spacing w:val="0"/>
                      <w:sz w:val="18"/>
                      <w:szCs w:val="18"/>
                      <w:lang w:val="en-US" w:eastAsia="zh-CN"/>
                    </w:rPr>
                  </w:pPr>
                </w:p>
              </w:tc>
              <w:tc>
                <w:tcPr>
                  <w:tcW w:w="1191" w:type="pct"/>
                  <w:noWrap w:val="0"/>
                  <w:vAlign w:val="center"/>
                </w:tcPr>
                <w:p>
                  <w:pPr>
                    <w:pStyle w:val="4"/>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sz w:val="18"/>
                      <w:szCs w:val="18"/>
                    </w:rPr>
                  </w:pPr>
                  <w:r>
                    <w:rPr>
                      <w:rFonts w:hint="eastAsia"/>
                      <w:sz w:val="18"/>
                      <w:szCs w:val="18"/>
                    </w:rPr>
                    <w:t>未及时响应顾客质反馈次数</w:t>
                  </w:r>
                  <w:r>
                    <w:rPr>
                      <w:rFonts w:hint="eastAsia" w:ascii="宋体" w:hAnsi="宋体"/>
                      <w:sz w:val="18"/>
                      <w:szCs w:val="18"/>
                    </w:rPr>
                    <w:t>≤</w:t>
                  </w:r>
                  <w:r>
                    <w:rPr>
                      <w:rFonts w:hint="eastAsia"/>
                      <w:sz w:val="18"/>
                      <w:szCs w:val="18"/>
                    </w:rPr>
                    <w:t>1次</w:t>
                  </w:r>
                </w:p>
              </w:tc>
              <w:tc>
                <w:tcPr>
                  <w:tcW w:w="1443" w:type="pct"/>
                  <w:noWrap w:val="0"/>
                  <w:vAlign w:val="center"/>
                </w:tcPr>
                <w:p>
                  <w:pPr>
                    <w:pStyle w:val="4"/>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eastAsia="宋体"/>
                      <w:sz w:val="18"/>
                      <w:szCs w:val="18"/>
                      <w:lang w:eastAsia="zh-CN"/>
                    </w:rPr>
                  </w:pPr>
                  <w:r>
                    <w:rPr>
                      <w:rFonts w:hint="eastAsia"/>
                      <w:sz w:val="18"/>
                      <w:szCs w:val="18"/>
                    </w:rPr>
                    <w:t>未及时响应顾客质反馈次数</w:t>
                  </w:r>
                  <w:r>
                    <w:rPr>
                      <w:rFonts w:hint="eastAsia"/>
                      <w:sz w:val="18"/>
                      <w:szCs w:val="18"/>
                      <w:lang w:eastAsia="zh-CN"/>
                    </w:rPr>
                    <w:t>为零</w:t>
                  </w:r>
                </w:p>
              </w:tc>
              <w:tc>
                <w:tcPr>
                  <w:tcW w:w="1423" w:type="pct"/>
                  <w:noWrap w:val="0"/>
                  <w:vAlign w:val="center"/>
                </w:tcPr>
                <w:p>
                  <w:pPr>
                    <w:pStyle w:val="4"/>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sz w:val="18"/>
                      <w:szCs w:val="18"/>
                    </w:rPr>
                  </w:pPr>
                  <w:r>
                    <w:rPr>
                      <w:rFonts w:hint="eastAsia"/>
                      <w:sz w:val="18"/>
                      <w:szCs w:val="18"/>
                    </w:rPr>
                    <w:t>顾客质量问题反馈24小时内响应，视为及时。否则视为不及时。</w:t>
                  </w:r>
                </w:p>
              </w:tc>
              <w:tc>
                <w:tcPr>
                  <w:tcW w:w="53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cs="宋体"/>
                      <w:spacing w:val="0"/>
                      <w:sz w:val="18"/>
                      <w:szCs w:val="18"/>
                      <w:lang w:val="en-US" w:eastAsia="zh-CN"/>
                    </w:rPr>
                  </w:pPr>
                  <w:r>
                    <w:rPr>
                      <w:rFonts w:hint="eastAsia" w:ascii="宋体" w:hAnsi="宋体" w:cs="宋体"/>
                      <w:sz w:val="18"/>
                      <w:szCs w:val="18"/>
                      <w:lang w:eastAsia="zh-CN"/>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exact"/>
              </w:trPr>
              <w:tc>
                <w:tcPr>
                  <w:tcW w:w="403" w:type="pct"/>
                  <w:vMerge w:val="restart"/>
                  <w:noWrap w:val="0"/>
                  <w:vAlign w:val="center"/>
                </w:tcPr>
                <w:p>
                  <w:pPr>
                    <w:spacing w:line="320" w:lineRule="exact"/>
                    <w:ind w:right="420"/>
                    <w:jc w:val="left"/>
                    <w:rPr>
                      <w:rFonts w:hint="eastAsia" w:ascii="宋体" w:hAnsi="宋体" w:cs="宋体"/>
                      <w:sz w:val="18"/>
                      <w:szCs w:val="18"/>
                    </w:rPr>
                  </w:pPr>
                  <w:r>
                    <w:rPr>
                      <w:rFonts w:hint="eastAsia" w:ascii="宋体" w:hAnsi="宋体" w:cs="宋体"/>
                      <w:sz w:val="18"/>
                      <w:szCs w:val="18"/>
                    </w:rPr>
                    <w:t>生产</w:t>
                  </w:r>
                  <w:r>
                    <w:rPr>
                      <w:rFonts w:hint="eastAsia" w:ascii="宋体" w:hAnsi="宋体" w:cs="宋体"/>
                      <w:sz w:val="18"/>
                      <w:szCs w:val="18"/>
                      <w:lang w:eastAsia="zh-CN"/>
                    </w:rPr>
                    <w:t>技术</w:t>
                  </w:r>
                  <w:r>
                    <w:rPr>
                      <w:rFonts w:hint="eastAsia" w:ascii="宋体" w:hAnsi="宋体" w:cs="宋体"/>
                      <w:sz w:val="18"/>
                      <w:szCs w:val="18"/>
                    </w:rPr>
                    <w:t>部</w:t>
                  </w:r>
                </w:p>
              </w:tc>
              <w:tc>
                <w:tcPr>
                  <w:tcW w:w="1191" w:type="pct"/>
                  <w:noWrap w:val="0"/>
                  <w:vAlign w:val="center"/>
                </w:tcPr>
                <w:p>
                  <w:pPr>
                    <w:pStyle w:val="4"/>
                    <w:ind w:firstLine="0" w:firstLineChars="0"/>
                    <w:jc w:val="both"/>
                    <w:rPr>
                      <w:rFonts w:hint="eastAsia" w:ascii="宋体" w:hAnsi="宋体" w:cs="宋体"/>
                      <w:spacing w:val="0"/>
                      <w:sz w:val="18"/>
                      <w:szCs w:val="18"/>
                    </w:rPr>
                  </w:pPr>
                  <w:r>
                    <w:rPr>
                      <w:rFonts w:hint="eastAsia" w:ascii="宋体" w:hAnsi="宋体" w:cs="宋体"/>
                      <w:sz w:val="18"/>
                      <w:szCs w:val="18"/>
                    </w:rPr>
                    <w:t>确保生产设备完好率</w:t>
                  </w:r>
                  <w:r>
                    <w:rPr>
                      <w:rFonts w:hint="eastAsia" w:ascii="宋体" w:hAnsi="宋体" w:cs="宋体"/>
                      <w:sz w:val="18"/>
                      <w:szCs w:val="18"/>
                      <w:lang w:val="en-US" w:eastAsia="zh-CN"/>
                    </w:rPr>
                    <w:t>97</w:t>
                  </w:r>
                  <w:r>
                    <w:rPr>
                      <w:rFonts w:hint="eastAsia" w:ascii="宋体" w:hAnsi="宋体" w:cs="宋体"/>
                      <w:sz w:val="18"/>
                      <w:szCs w:val="18"/>
                    </w:rPr>
                    <w:t>%</w:t>
                  </w:r>
                  <w:r>
                    <w:rPr>
                      <w:rFonts w:hint="eastAsia" w:ascii="宋体" w:hAnsi="宋体" w:cs="宋体"/>
                      <w:sz w:val="18"/>
                      <w:szCs w:val="18"/>
                      <w:lang w:eastAsia="zh-CN"/>
                    </w:rPr>
                    <w:t>以上</w:t>
                  </w:r>
                  <w:r>
                    <w:rPr>
                      <w:rFonts w:hint="eastAsia" w:ascii="宋体" w:hAnsi="宋体" w:cs="宋体"/>
                      <w:sz w:val="18"/>
                      <w:szCs w:val="18"/>
                    </w:rPr>
                    <w:t>；</w:t>
                  </w:r>
                </w:p>
                <w:p>
                  <w:pPr>
                    <w:pStyle w:val="4"/>
                    <w:ind w:firstLine="0" w:firstLineChars="0"/>
                    <w:jc w:val="both"/>
                    <w:rPr>
                      <w:rFonts w:hint="eastAsia" w:ascii="宋体" w:hAnsi="宋体" w:cs="宋体"/>
                      <w:spacing w:val="0"/>
                      <w:sz w:val="18"/>
                      <w:szCs w:val="18"/>
                    </w:rPr>
                  </w:pPr>
                </w:p>
              </w:tc>
              <w:tc>
                <w:tcPr>
                  <w:tcW w:w="1443" w:type="pct"/>
                  <w:noWrap w:val="0"/>
                  <w:vAlign w:val="center"/>
                </w:tcPr>
                <w:p>
                  <w:pPr>
                    <w:pStyle w:val="4"/>
                    <w:ind w:firstLine="0" w:firstLineChars="0"/>
                    <w:jc w:val="both"/>
                    <w:rPr>
                      <w:rFonts w:hint="eastAsia" w:ascii="宋体" w:hAnsi="宋体" w:cs="宋体"/>
                      <w:sz w:val="18"/>
                      <w:szCs w:val="18"/>
                    </w:rPr>
                  </w:pPr>
                  <w:r>
                    <w:rPr>
                      <w:rFonts w:hint="eastAsia" w:ascii="宋体" w:hAnsi="宋体" w:cs="宋体"/>
                      <w:spacing w:val="0"/>
                      <w:sz w:val="18"/>
                      <w:szCs w:val="18"/>
                    </w:rPr>
                    <w:t>生产设备完好率达到</w:t>
                  </w:r>
                  <w:r>
                    <w:rPr>
                      <w:rFonts w:hint="eastAsia" w:ascii="宋体" w:hAnsi="宋体" w:cs="宋体"/>
                      <w:spacing w:val="0"/>
                      <w:sz w:val="18"/>
                      <w:szCs w:val="18"/>
                      <w:lang w:val="en-US" w:eastAsia="zh-CN"/>
                    </w:rPr>
                    <w:t>100</w:t>
                  </w:r>
                  <w:r>
                    <w:rPr>
                      <w:rFonts w:hint="eastAsia" w:ascii="宋体" w:hAnsi="宋体" w:cs="宋体"/>
                      <w:spacing w:val="0"/>
                      <w:sz w:val="18"/>
                      <w:szCs w:val="18"/>
                    </w:rPr>
                    <w:t>%；</w:t>
                  </w:r>
                  <w:r>
                    <w:rPr>
                      <w:rFonts w:hint="eastAsia" w:ascii="宋体" w:hAnsi="宋体" w:cs="宋体"/>
                      <w:sz w:val="18"/>
                      <w:szCs w:val="18"/>
                    </w:rPr>
                    <w:t>《（</w:t>
                  </w:r>
                  <w:r>
                    <w:rPr>
                      <w:rFonts w:hint="eastAsia" w:ascii="宋体" w:hAnsi="宋体" w:cs="宋体"/>
                      <w:sz w:val="18"/>
                      <w:szCs w:val="18"/>
                      <w:lang w:val="en-US" w:eastAsia="zh-CN"/>
                    </w:rPr>
                    <w:t>187</w:t>
                  </w:r>
                  <w:r>
                    <w:rPr>
                      <w:rFonts w:hint="eastAsia" w:ascii="宋体" w:hAnsi="宋体" w:cs="宋体"/>
                      <w:sz w:val="18"/>
                      <w:szCs w:val="18"/>
                    </w:rPr>
                    <w:t>÷</w:t>
                  </w:r>
                  <w:r>
                    <w:rPr>
                      <w:rFonts w:hint="eastAsia" w:ascii="宋体" w:hAnsi="宋体" w:cs="宋体"/>
                      <w:sz w:val="18"/>
                      <w:szCs w:val="18"/>
                      <w:lang w:val="en-US" w:eastAsia="zh-CN"/>
                    </w:rPr>
                    <w:t>187</w:t>
                  </w:r>
                  <w:r>
                    <w:rPr>
                      <w:rFonts w:hint="eastAsia" w:ascii="宋体" w:hAnsi="宋体" w:cs="宋体"/>
                      <w:sz w:val="18"/>
                      <w:szCs w:val="18"/>
                    </w:rPr>
                    <w:t>）×100%》=</w:t>
                  </w:r>
                  <w:r>
                    <w:rPr>
                      <w:rFonts w:hint="eastAsia" w:ascii="宋体" w:hAnsi="宋体" w:cs="宋体"/>
                      <w:sz w:val="18"/>
                      <w:szCs w:val="18"/>
                      <w:lang w:val="en-US" w:eastAsia="zh-CN"/>
                    </w:rPr>
                    <w:t>100</w:t>
                  </w:r>
                  <w:r>
                    <w:rPr>
                      <w:rFonts w:hint="eastAsia" w:ascii="宋体" w:hAnsi="宋体" w:cs="宋体"/>
                      <w:sz w:val="18"/>
                      <w:szCs w:val="18"/>
                    </w:rPr>
                    <w:t>%</w:t>
                  </w:r>
                </w:p>
                <w:p>
                  <w:pPr>
                    <w:pStyle w:val="4"/>
                    <w:ind w:firstLine="0" w:firstLineChars="0"/>
                    <w:jc w:val="both"/>
                    <w:rPr>
                      <w:rFonts w:hint="eastAsia" w:ascii="宋体" w:hAnsi="宋体" w:cs="宋体"/>
                      <w:sz w:val="18"/>
                      <w:szCs w:val="18"/>
                    </w:rPr>
                  </w:pPr>
                </w:p>
              </w:tc>
              <w:tc>
                <w:tcPr>
                  <w:tcW w:w="1423" w:type="pct"/>
                  <w:noWrap w:val="0"/>
                  <w:vAlign w:val="center"/>
                </w:tcPr>
                <w:p>
                  <w:pPr>
                    <w:ind w:right="420"/>
                    <w:jc w:val="both"/>
                    <w:rPr>
                      <w:rFonts w:hint="eastAsia" w:ascii="宋体" w:hAnsi="宋体" w:cs="宋体"/>
                      <w:sz w:val="18"/>
                      <w:szCs w:val="18"/>
                    </w:rPr>
                  </w:pPr>
                  <w:r>
                    <w:rPr>
                      <w:rFonts w:hint="eastAsia" w:ascii="宋体" w:hAnsi="宋体" w:cs="宋体"/>
                      <w:sz w:val="18"/>
                      <w:szCs w:val="18"/>
                    </w:rPr>
                    <w:t>生产设备完好率=完好设备总台数/生产设备总台数× 100%</w:t>
                  </w:r>
                  <w:bookmarkStart w:id="0" w:name="OLE_LINK17"/>
                  <w:bookmarkStart w:id="1" w:name="OLE_LINK18"/>
                  <w:bookmarkStart w:id="2" w:name="OLE_LINK16"/>
                  <w:r>
                    <w:rPr>
                      <w:rFonts w:hint="eastAsia" w:ascii="宋体" w:hAnsi="宋体" w:cs="宋体"/>
                      <w:sz w:val="18"/>
                      <w:szCs w:val="18"/>
                    </w:rPr>
                    <w:t>；</w:t>
                  </w:r>
                </w:p>
                <w:bookmarkEnd w:id="0"/>
                <w:bookmarkEnd w:id="1"/>
                <w:bookmarkEnd w:id="2"/>
                <w:p>
                  <w:pPr>
                    <w:pStyle w:val="4"/>
                    <w:ind w:firstLine="0" w:firstLineChars="0"/>
                    <w:jc w:val="both"/>
                    <w:rPr>
                      <w:rFonts w:hint="eastAsia" w:ascii="宋体" w:hAnsi="宋体" w:cs="宋体"/>
                      <w:sz w:val="18"/>
                      <w:szCs w:val="18"/>
                    </w:rPr>
                  </w:pPr>
                </w:p>
              </w:tc>
              <w:tc>
                <w:tcPr>
                  <w:tcW w:w="538" w:type="pct"/>
                  <w:noWrap w:val="0"/>
                  <w:vAlign w:val="center"/>
                </w:tcPr>
                <w:p>
                  <w:pPr>
                    <w:ind w:firstLine="0" w:firstLineChars="0"/>
                    <w:jc w:val="center"/>
                    <w:rPr>
                      <w:rFonts w:hint="eastAsia" w:ascii="宋体" w:hAnsi="宋体" w:eastAsia="宋体" w:cs="宋体"/>
                      <w:sz w:val="18"/>
                      <w:szCs w:val="18"/>
                      <w:lang w:eastAsia="zh-CN"/>
                    </w:rPr>
                  </w:pPr>
                  <w:r>
                    <w:rPr>
                      <w:rFonts w:hint="eastAsia" w:ascii="宋体" w:hAnsi="宋体" w:cs="宋体"/>
                      <w:sz w:val="18"/>
                      <w:szCs w:val="18"/>
                      <w:lang w:eastAsia="zh-CN"/>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403" w:type="pct"/>
                  <w:vMerge w:val="continue"/>
                  <w:noWrap w:val="0"/>
                  <w:vAlign w:val="center"/>
                </w:tcPr>
                <w:p>
                  <w:pPr>
                    <w:pStyle w:val="4"/>
                    <w:ind w:firstLine="0" w:firstLineChars="0"/>
                    <w:jc w:val="left"/>
                    <w:rPr>
                      <w:rFonts w:hint="eastAsia" w:ascii="宋体" w:hAnsi="宋体" w:cs="宋体"/>
                      <w:spacing w:val="0"/>
                      <w:sz w:val="18"/>
                      <w:szCs w:val="18"/>
                    </w:rPr>
                  </w:pPr>
                </w:p>
              </w:tc>
              <w:tc>
                <w:tcPr>
                  <w:tcW w:w="1191" w:type="pct"/>
                  <w:noWrap w:val="0"/>
                  <w:vAlign w:val="center"/>
                </w:tcPr>
                <w:p>
                  <w:pPr>
                    <w:pStyle w:val="4"/>
                    <w:ind w:firstLine="0" w:firstLineChars="0"/>
                    <w:jc w:val="both"/>
                    <w:rPr>
                      <w:rFonts w:hint="eastAsia" w:ascii="宋体" w:hAnsi="宋体" w:eastAsia="宋体" w:cs="宋体"/>
                      <w:spacing w:val="0"/>
                      <w:sz w:val="18"/>
                      <w:szCs w:val="18"/>
                      <w:lang w:eastAsia="zh-CN"/>
                    </w:rPr>
                  </w:pPr>
                  <w:r>
                    <w:rPr>
                      <w:rFonts w:hint="eastAsia" w:ascii="宋体" w:hAnsi="宋体" w:cs="宋体"/>
                      <w:spacing w:val="0"/>
                      <w:sz w:val="18"/>
                      <w:szCs w:val="18"/>
                      <w:lang w:eastAsia="zh-CN"/>
                    </w:rPr>
                    <w:t>生产计划完成率</w:t>
                  </w:r>
                  <w:r>
                    <w:rPr>
                      <w:rFonts w:hint="eastAsia" w:ascii="宋体" w:hAnsi="宋体"/>
                      <w:sz w:val="18"/>
                      <w:szCs w:val="18"/>
                    </w:rPr>
                    <w:t>≥</w:t>
                  </w:r>
                  <w:r>
                    <w:rPr>
                      <w:rFonts w:hint="eastAsia" w:ascii="宋体" w:hAnsi="宋体"/>
                      <w:sz w:val="18"/>
                      <w:szCs w:val="18"/>
                      <w:lang w:val="en-US" w:eastAsia="zh-CN"/>
                    </w:rPr>
                    <w:t>95</w:t>
                  </w:r>
                  <w:r>
                    <w:rPr>
                      <w:rFonts w:hint="eastAsia" w:ascii="宋体" w:hAnsi="宋体"/>
                      <w:sz w:val="18"/>
                      <w:szCs w:val="18"/>
                    </w:rPr>
                    <w:t>%</w:t>
                  </w:r>
                </w:p>
              </w:tc>
              <w:tc>
                <w:tcPr>
                  <w:tcW w:w="1443" w:type="pct"/>
                  <w:noWrap w:val="0"/>
                  <w:vAlign w:val="center"/>
                </w:tcPr>
                <w:p>
                  <w:pPr>
                    <w:pStyle w:val="4"/>
                    <w:ind w:firstLine="0" w:firstLineChars="0"/>
                    <w:jc w:val="both"/>
                    <w:rPr>
                      <w:rFonts w:hint="default" w:ascii="宋体" w:hAnsi="宋体" w:cs="宋体"/>
                      <w:spacing w:val="0"/>
                      <w:sz w:val="18"/>
                      <w:szCs w:val="18"/>
                      <w:lang w:val="en-US"/>
                    </w:rPr>
                  </w:pPr>
                  <w:r>
                    <w:rPr>
                      <w:rFonts w:hint="eastAsia" w:ascii="宋体" w:hAnsi="宋体" w:cs="宋体"/>
                      <w:spacing w:val="0"/>
                      <w:sz w:val="18"/>
                      <w:szCs w:val="18"/>
                      <w:lang w:eastAsia="zh-CN"/>
                    </w:rPr>
                    <w:t>生产计划完成率</w:t>
                  </w:r>
                  <w:r>
                    <w:rPr>
                      <w:rFonts w:hint="eastAsia" w:ascii="宋体" w:hAnsi="宋体" w:cs="宋体"/>
                      <w:spacing w:val="0"/>
                      <w:sz w:val="18"/>
                      <w:szCs w:val="18"/>
                      <w:lang w:val="en-US" w:eastAsia="zh-CN"/>
                    </w:rPr>
                    <w:t>100%；《（220</w:t>
                  </w:r>
                  <w:r>
                    <w:rPr>
                      <w:rFonts w:hint="eastAsia" w:ascii="宋体" w:hAnsi="宋体" w:cs="宋体"/>
                      <w:sz w:val="18"/>
                      <w:szCs w:val="18"/>
                    </w:rPr>
                    <w:t>÷</w:t>
                  </w:r>
                  <w:r>
                    <w:rPr>
                      <w:rFonts w:hint="eastAsia" w:ascii="宋体" w:hAnsi="宋体" w:cs="宋体"/>
                      <w:sz w:val="18"/>
                      <w:szCs w:val="18"/>
                      <w:lang w:val="en-US" w:eastAsia="zh-CN"/>
                    </w:rPr>
                    <w:t>220</w:t>
                  </w:r>
                  <w:r>
                    <w:rPr>
                      <w:rFonts w:hint="eastAsia" w:ascii="宋体" w:hAnsi="宋体" w:cs="宋体"/>
                      <w:spacing w:val="0"/>
                      <w:sz w:val="18"/>
                      <w:szCs w:val="18"/>
                      <w:lang w:val="en-US" w:eastAsia="zh-CN"/>
                    </w:rPr>
                    <w:t>）</w:t>
                  </w:r>
                  <w:r>
                    <w:rPr>
                      <w:rFonts w:hint="eastAsia" w:ascii="宋体" w:hAnsi="宋体" w:cs="宋体"/>
                      <w:sz w:val="18"/>
                      <w:szCs w:val="18"/>
                    </w:rPr>
                    <w:t>×100%</w:t>
                  </w:r>
                  <w:r>
                    <w:rPr>
                      <w:rFonts w:hint="eastAsia" w:ascii="宋体" w:hAnsi="宋体" w:cs="宋体"/>
                      <w:spacing w:val="0"/>
                      <w:sz w:val="18"/>
                      <w:szCs w:val="18"/>
                      <w:lang w:val="en-US" w:eastAsia="zh-CN"/>
                    </w:rPr>
                    <w:t>》=</w:t>
                  </w:r>
                  <w:r>
                    <w:rPr>
                      <w:rFonts w:hint="eastAsia" w:ascii="宋体" w:hAnsi="宋体" w:cs="宋体"/>
                      <w:sz w:val="18"/>
                      <w:szCs w:val="18"/>
                    </w:rPr>
                    <w:t>=</w:t>
                  </w:r>
                  <w:r>
                    <w:rPr>
                      <w:rFonts w:hint="eastAsia" w:ascii="宋体" w:hAnsi="宋体" w:cs="宋体"/>
                      <w:sz w:val="18"/>
                      <w:szCs w:val="18"/>
                      <w:lang w:val="en-US" w:eastAsia="zh-CN"/>
                    </w:rPr>
                    <w:t>100</w:t>
                  </w:r>
                  <w:r>
                    <w:rPr>
                      <w:rFonts w:hint="eastAsia" w:ascii="宋体" w:hAnsi="宋体" w:cs="宋体"/>
                      <w:sz w:val="18"/>
                      <w:szCs w:val="18"/>
                    </w:rPr>
                    <w:t>%</w:t>
                  </w:r>
                </w:p>
              </w:tc>
              <w:tc>
                <w:tcPr>
                  <w:tcW w:w="1423" w:type="pct"/>
                  <w:noWrap w:val="0"/>
                  <w:vAlign w:val="center"/>
                </w:tcPr>
                <w:p>
                  <w:pPr>
                    <w:pStyle w:val="4"/>
                    <w:ind w:firstLine="0" w:firstLineChars="0"/>
                    <w:jc w:val="both"/>
                    <w:rPr>
                      <w:rFonts w:hint="eastAsia" w:ascii="宋体" w:hAnsi="宋体" w:cs="宋体"/>
                      <w:sz w:val="18"/>
                      <w:szCs w:val="18"/>
                    </w:rPr>
                  </w:pPr>
                  <w:r>
                    <w:rPr>
                      <w:rFonts w:hint="eastAsia"/>
                      <w:sz w:val="18"/>
                      <w:szCs w:val="18"/>
                    </w:rPr>
                    <w:t>生产计划按时完成率=在规定的交付时间内完成的销售生产通知单总数/销售生产通知单总数</w:t>
                  </w:r>
                </w:p>
              </w:tc>
              <w:tc>
                <w:tcPr>
                  <w:tcW w:w="538" w:type="pct"/>
                  <w:noWrap w:val="0"/>
                  <w:vAlign w:val="center"/>
                </w:tcPr>
                <w:p>
                  <w:pPr>
                    <w:ind w:firstLine="0" w:firstLineChars="0"/>
                    <w:jc w:val="center"/>
                    <w:rPr>
                      <w:rFonts w:hint="eastAsia" w:ascii="宋体" w:hAnsi="宋体" w:cs="宋体"/>
                      <w:sz w:val="18"/>
                      <w:szCs w:val="18"/>
                      <w:lang w:eastAsia="zh-CN"/>
                    </w:rPr>
                  </w:pPr>
                  <w:r>
                    <w:rPr>
                      <w:rFonts w:hint="eastAsia" w:ascii="宋体" w:hAnsi="宋体" w:cs="宋体"/>
                      <w:sz w:val="18"/>
                      <w:szCs w:val="18"/>
                      <w:lang w:eastAsia="zh-CN"/>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403" w:type="pct"/>
                  <w:vMerge w:val="restart"/>
                  <w:noWrap w:val="0"/>
                  <w:vAlign w:val="center"/>
                </w:tcPr>
                <w:p>
                  <w:pPr>
                    <w:pStyle w:val="4"/>
                    <w:ind w:firstLine="0" w:firstLineChars="0"/>
                    <w:jc w:val="left"/>
                    <w:rPr>
                      <w:rFonts w:hint="eastAsia" w:ascii="宋体" w:hAnsi="宋体" w:eastAsia="宋体" w:cs="宋体"/>
                      <w:spacing w:val="0"/>
                      <w:sz w:val="18"/>
                      <w:szCs w:val="18"/>
                      <w:lang w:val="en-US" w:eastAsia="zh-CN"/>
                    </w:rPr>
                  </w:pPr>
                  <w:r>
                    <w:rPr>
                      <w:rFonts w:hint="eastAsia" w:ascii="宋体" w:hAnsi="宋体" w:cs="宋体"/>
                      <w:spacing w:val="0"/>
                      <w:sz w:val="18"/>
                      <w:szCs w:val="18"/>
                      <w:lang w:val="en-US" w:eastAsia="zh-CN"/>
                    </w:rPr>
                    <w:t>质量控制部</w:t>
                  </w:r>
                </w:p>
              </w:tc>
              <w:tc>
                <w:tcPr>
                  <w:tcW w:w="1191" w:type="pct"/>
                  <w:noWrap w:val="0"/>
                  <w:vAlign w:val="center"/>
                </w:tcPr>
                <w:p>
                  <w:pPr>
                    <w:pStyle w:val="4"/>
                    <w:ind w:firstLine="0" w:firstLineChars="0"/>
                    <w:jc w:val="both"/>
                    <w:rPr>
                      <w:rFonts w:hint="eastAsia" w:ascii="宋体" w:hAnsi="宋体" w:cs="宋体"/>
                      <w:spacing w:val="0"/>
                      <w:sz w:val="18"/>
                      <w:szCs w:val="18"/>
                      <w:lang w:eastAsia="zh-CN"/>
                    </w:rPr>
                  </w:pPr>
                  <w:r>
                    <w:rPr>
                      <w:rFonts w:hint="eastAsia" w:ascii="宋体" w:hAnsi="宋体" w:cs="宋体"/>
                      <w:sz w:val="18"/>
                      <w:szCs w:val="18"/>
                    </w:rPr>
                    <w:t>确保产品一次交验合格率</w:t>
                  </w:r>
                  <w:r>
                    <w:rPr>
                      <w:rFonts w:hint="eastAsia" w:ascii="宋体" w:hAnsi="宋体" w:cs="宋体"/>
                      <w:sz w:val="18"/>
                      <w:szCs w:val="18"/>
                      <w:lang w:val="en-US" w:eastAsia="zh-CN"/>
                    </w:rPr>
                    <w:t>≥</w:t>
                  </w:r>
                  <w:r>
                    <w:rPr>
                      <w:rFonts w:hint="eastAsia" w:ascii="宋体" w:hAnsi="宋体" w:cs="宋体"/>
                      <w:spacing w:val="0"/>
                      <w:kern w:val="2"/>
                      <w:sz w:val="18"/>
                      <w:szCs w:val="18"/>
                      <w:lang w:val="en-US" w:eastAsia="zh-CN" w:bidi="ar-SA"/>
                    </w:rPr>
                    <w:t>98%</w:t>
                  </w:r>
                  <w:r>
                    <w:rPr>
                      <w:rFonts w:hint="eastAsia" w:ascii="宋体" w:hAnsi="宋体" w:cs="宋体"/>
                      <w:sz w:val="18"/>
                      <w:szCs w:val="18"/>
                    </w:rPr>
                    <w:t>；</w:t>
                  </w:r>
                </w:p>
              </w:tc>
              <w:tc>
                <w:tcPr>
                  <w:tcW w:w="1443" w:type="pct"/>
                  <w:noWrap w:val="0"/>
                  <w:vAlign w:val="center"/>
                </w:tcPr>
                <w:p>
                  <w:pPr>
                    <w:jc w:val="both"/>
                    <w:rPr>
                      <w:rFonts w:hint="eastAsia" w:ascii="宋体" w:hAnsi="宋体" w:cs="宋体"/>
                      <w:sz w:val="18"/>
                      <w:szCs w:val="18"/>
                    </w:rPr>
                  </w:pPr>
                  <w:r>
                    <w:rPr>
                      <w:rFonts w:hint="eastAsia" w:ascii="宋体" w:hAnsi="宋体" w:cs="宋体"/>
                      <w:sz w:val="18"/>
                      <w:szCs w:val="18"/>
                    </w:rPr>
                    <w:t>产品一次交验合格率达到100%；《（</w:t>
                  </w:r>
                  <w:r>
                    <w:rPr>
                      <w:rFonts w:hint="eastAsia" w:ascii="宋体" w:hAnsi="宋体" w:cs="宋体"/>
                      <w:sz w:val="18"/>
                      <w:szCs w:val="18"/>
                      <w:lang w:val="en-US" w:eastAsia="zh-CN"/>
                    </w:rPr>
                    <w:t>382</w:t>
                  </w:r>
                  <w:r>
                    <w:rPr>
                      <w:rFonts w:hint="eastAsia" w:ascii="宋体" w:hAnsi="宋体" w:cs="宋体"/>
                      <w:sz w:val="18"/>
                      <w:szCs w:val="18"/>
                    </w:rPr>
                    <w:t>÷</w:t>
                  </w:r>
                  <w:r>
                    <w:rPr>
                      <w:rFonts w:hint="eastAsia" w:ascii="宋体" w:hAnsi="宋体" w:cs="宋体"/>
                      <w:sz w:val="18"/>
                      <w:szCs w:val="18"/>
                      <w:lang w:val="en-US" w:eastAsia="zh-CN"/>
                    </w:rPr>
                    <w:t>382</w:t>
                  </w:r>
                  <w:r>
                    <w:rPr>
                      <w:rFonts w:hint="eastAsia" w:ascii="宋体" w:hAnsi="宋体" w:cs="宋体"/>
                      <w:sz w:val="18"/>
                      <w:szCs w:val="18"/>
                    </w:rPr>
                    <w:t>）×100%》=</w:t>
                  </w:r>
                  <w:r>
                    <w:rPr>
                      <w:rFonts w:hint="eastAsia" w:ascii="宋体" w:hAnsi="宋体" w:cs="宋体"/>
                      <w:sz w:val="18"/>
                      <w:szCs w:val="18"/>
                      <w:lang w:val="en-US" w:eastAsia="zh-CN"/>
                    </w:rPr>
                    <w:t>100</w:t>
                  </w:r>
                  <w:r>
                    <w:rPr>
                      <w:rFonts w:hint="eastAsia" w:ascii="宋体" w:hAnsi="宋体" w:cs="宋体"/>
                      <w:sz w:val="18"/>
                      <w:szCs w:val="18"/>
                    </w:rPr>
                    <w:t>%</w:t>
                  </w:r>
                </w:p>
                <w:p>
                  <w:pPr>
                    <w:pStyle w:val="4"/>
                    <w:ind w:firstLine="0" w:firstLineChars="0"/>
                    <w:jc w:val="both"/>
                    <w:rPr>
                      <w:rFonts w:hint="eastAsia" w:ascii="宋体" w:hAnsi="宋体" w:cs="宋体"/>
                      <w:spacing w:val="0"/>
                      <w:sz w:val="18"/>
                      <w:szCs w:val="18"/>
                      <w:lang w:eastAsia="zh-CN"/>
                    </w:rPr>
                  </w:pPr>
                </w:p>
              </w:tc>
              <w:tc>
                <w:tcPr>
                  <w:tcW w:w="1423" w:type="pct"/>
                  <w:noWrap w:val="0"/>
                  <w:vAlign w:val="center"/>
                </w:tcPr>
                <w:p>
                  <w:pPr>
                    <w:ind w:right="420"/>
                    <w:jc w:val="both"/>
                    <w:rPr>
                      <w:rFonts w:hint="eastAsia" w:ascii="宋体" w:hAnsi="宋体" w:cs="宋体"/>
                      <w:sz w:val="18"/>
                      <w:szCs w:val="18"/>
                    </w:rPr>
                  </w:pPr>
                  <w:r>
                    <w:rPr>
                      <w:rFonts w:hint="eastAsia" w:ascii="宋体" w:hAnsi="宋体" w:cs="宋体"/>
                      <w:sz w:val="18"/>
                      <w:szCs w:val="18"/>
                    </w:rPr>
                    <w:t>产品一次交验合格率=合格数 ÷ 交验总数 × 100%；</w:t>
                  </w:r>
                </w:p>
                <w:p>
                  <w:pPr>
                    <w:pStyle w:val="4"/>
                    <w:ind w:firstLine="0" w:firstLineChars="0"/>
                    <w:jc w:val="both"/>
                    <w:rPr>
                      <w:rFonts w:hint="eastAsia"/>
                      <w:sz w:val="18"/>
                      <w:szCs w:val="18"/>
                    </w:rPr>
                  </w:pPr>
                </w:p>
              </w:tc>
              <w:tc>
                <w:tcPr>
                  <w:tcW w:w="538" w:type="pct"/>
                  <w:noWrap w:val="0"/>
                  <w:vAlign w:val="center"/>
                </w:tcPr>
                <w:p>
                  <w:pPr>
                    <w:ind w:firstLine="0" w:firstLineChars="0"/>
                    <w:jc w:val="center"/>
                    <w:rPr>
                      <w:rFonts w:hint="eastAsia" w:ascii="宋体" w:hAnsi="宋体" w:cs="宋体"/>
                      <w:sz w:val="18"/>
                      <w:szCs w:val="18"/>
                      <w:lang w:eastAsia="zh-CN"/>
                    </w:rPr>
                  </w:pPr>
                  <w:r>
                    <w:rPr>
                      <w:rFonts w:hint="eastAsia" w:ascii="宋体" w:hAnsi="宋体" w:cs="宋体"/>
                      <w:sz w:val="18"/>
                      <w:szCs w:val="18"/>
                      <w:lang w:eastAsia="zh-CN"/>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403" w:type="pct"/>
                  <w:vMerge w:val="continue"/>
                  <w:noWrap w:val="0"/>
                  <w:vAlign w:val="center"/>
                </w:tcPr>
                <w:p>
                  <w:pPr>
                    <w:pStyle w:val="4"/>
                    <w:ind w:firstLine="0" w:firstLineChars="0"/>
                    <w:jc w:val="left"/>
                    <w:rPr>
                      <w:rFonts w:hint="eastAsia" w:ascii="宋体" w:hAnsi="宋体" w:cs="宋体"/>
                      <w:spacing w:val="0"/>
                      <w:sz w:val="18"/>
                      <w:szCs w:val="18"/>
                      <w:lang w:val="en-US" w:eastAsia="zh-CN"/>
                    </w:rPr>
                  </w:pPr>
                </w:p>
              </w:tc>
              <w:tc>
                <w:tcPr>
                  <w:tcW w:w="1191" w:type="pct"/>
                  <w:noWrap w:val="0"/>
                  <w:vAlign w:val="center"/>
                </w:tcPr>
                <w:p>
                  <w:pPr>
                    <w:ind w:right="420"/>
                    <w:jc w:val="both"/>
                    <w:rPr>
                      <w:rFonts w:hint="eastAsia" w:ascii="宋体" w:hAnsi="宋体" w:eastAsia="宋体" w:cs="宋体"/>
                      <w:sz w:val="18"/>
                      <w:szCs w:val="18"/>
                      <w:lang w:eastAsia="zh-CN"/>
                    </w:rPr>
                  </w:pPr>
                  <w:r>
                    <w:rPr>
                      <w:rFonts w:hint="eastAsia" w:ascii="宋体" w:hAnsi="宋体" w:cs="宋体"/>
                      <w:sz w:val="18"/>
                      <w:szCs w:val="18"/>
                    </w:rPr>
                    <w:t>确保产品出厂合格率100%</w:t>
                  </w:r>
                  <w:r>
                    <w:rPr>
                      <w:rFonts w:hint="eastAsia" w:ascii="宋体" w:hAnsi="宋体" w:cs="宋体"/>
                      <w:sz w:val="18"/>
                      <w:szCs w:val="18"/>
                      <w:lang w:eastAsia="zh-CN"/>
                    </w:rPr>
                    <w:t>；</w:t>
                  </w:r>
                </w:p>
                <w:p>
                  <w:pPr>
                    <w:pStyle w:val="4"/>
                    <w:ind w:firstLine="0" w:firstLineChars="0"/>
                    <w:jc w:val="both"/>
                    <w:rPr>
                      <w:rFonts w:hint="eastAsia" w:ascii="宋体" w:hAnsi="宋体" w:cs="宋体"/>
                      <w:spacing w:val="0"/>
                      <w:sz w:val="18"/>
                      <w:szCs w:val="18"/>
                      <w:lang w:eastAsia="zh-CN"/>
                    </w:rPr>
                  </w:pPr>
                </w:p>
              </w:tc>
              <w:tc>
                <w:tcPr>
                  <w:tcW w:w="1443" w:type="pct"/>
                  <w:noWrap w:val="0"/>
                  <w:vAlign w:val="center"/>
                </w:tcPr>
                <w:p>
                  <w:pPr>
                    <w:jc w:val="both"/>
                    <w:rPr>
                      <w:rFonts w:hint="eastAsia" w:ascii="宋体" w:hAnsi="宋体" w:cs="宋体"/>
                      <w:sz w:val="18"/>
                      <w:szCs w:val="18"/>
                    </w:rPr>
                  </w:pPr>
                  <w:r>
                    <w:rPr>
                      <w:rFonts w:hint="eastAsia" w:ascii="宋体" w:hAnsi="宋体" w:cs="宋体"/>
                      <w:sz w:val="18"/>
                      <w:szCs w:val="18"/>
                    </w:rPr>
                    <w:t>产品出厂合格率100%；《（</w:t>
                  </w:r>
                  <w:r>
                    <w:rPr>
                      <w:rFonts w:hint="eastAsia" w:ascii="宋体" w:hAnsi="宋体" w:cs="宋体"/>
                      <w:sz w:val="18"/>
                      <w:szCs w:val="18"/>
                      <w:lang w:val="en-US" w:eastAsia="zh-CN"/>
                    </w:rPr>
                    <w:t>382</w:t>
                  </w:r>
                  <w:r>
                    <w:rPr>
                      <w:rFonts w:hint="eastAsia" w:ascii="宋体" w:hAnsi="宋体" w:cs="宋体"/>
                      <w:sz w:val="18"/>
                      <w:szCs w:val="18"/>
                    </w:rPr>
                    <w:t>÷</w:t>
                  </w:r>
                  <w:r>
                    <w:rPr>
                      <w:rFonts w:hint="eastAsia" w:ascii="宋体" w:hAnsi="宋体" w:cs="宋体"/>
                      <w:sz w:val="18"/>
                      <w:szCs w:val="18"/>
                      <w:lang w:val="en-US" w:eastAsia="zh-CN"/>
                    </w:rPr>
                    <w:t>382</w:t>
                  </w:r>
                  <w:r>
                    <w:rPr>
                      <w:rFonts w:hint="eastAsia" w:ascii="宋体" w:hAnsi="宋体" w:cs="宋体"/>
                      <w:sz w:val="18"/>
                      <w:szCs w:val="18"/>
                    </w:rPr>
                    <w:t>）×100%》=100%</w:t>
                  </w:r>
                </w:p>
                <w:p>
                  <w:pPr>
                    <w:pStyle w:val="4"/>
                    <w:ind w:firstLine="0" w:firstLineChars="0"/>
                    <w:jc w:val="both"/>
                    <w:rPr>
                      <w:rFonts w:hint="eastAsia" w:ascii="宋体" w:hAnsi="宋体" w:cs="宋体"/>
                      <w:spacing w:val="0"/>
                      <w:sz w:val="18"/>
                      <w:szCs w:val="18"/>
                      <w:lang w:eastAsia="zh-CN"/>
                    </w:rPr>
                  </w:pPr>
                </w:p>
              </w:tc>
              <w:tc>
                <w:tcPr>
                  <w:tcW w:w="1423" w:type="pct"/>
                  <w:noWrap w:val="0"/>
                  <w:vAlign w:val="center"/>
                </w:tcPr>
                <w:p>
                  <w:pPr>
                    <w:pStyle w:val="4"/>
                    <w:ind w:firstLine="0" w:firstLineChars="0"/>
                    <w:jc w:val="both"/>
                    <w:rPr>
                      <w:rFonts w:hint="eastAsia" w:ascii="宋体" w:hAnsi="宋体" w:cs="宋体"/>
                      <w:sz w:val="18"/>
                      <w:szCs w:val="18"/>
                    </w:rPr>
                  </w:pPr>
                  <w:r>
                    <w:rPr>
                      <w:rFonts w:hint="eastAsia" w:ascii="宋体" w:hAnsi="宋体" w:cs="宋体"/>
                      <w:sz w:val="18"/>
                      <w:szCs w:val="18"/>
                    </w:rPr>
                    <w:t>产品出厂合格率=出厂的合格产品数/出厂的全部产品数× 100%</w:t>
                  </w:r>
                </w:p>
                <w:p>
                  <w:pPr>
                    <w:pStyle w:val="4"/>
                    <w:ind w:firstLine="0" w:firstLineChars="0"/>
                    <w:jc w:val="both"/>
                    <w:rPr>
                      <w:rFonts w:hint="eastAsia"/>
                      <w:sz w:val="18"/>
                      <w:szCs w:val="18"/>
                    </w:rPr>
                  </w:pPr>
                </w:p>
              </w:tc>
              <w:tc>
                <w:tcPr>
                  <w:tcW w:w="538" w:type="pct"/>
                  <w:noWrap w:val="0"/>
                  <w:vAlign w:val="center"/>
                </w:tcPr>
                <w:p>
                  <w:pPr>
                    <w:ind w:firstLine="0" w:firstLineChars="0"/>
                    <w:jc w:val="center"/>
                    <w:rPr>
                      <w:rFonts w:hint="eastAsia" w:ascii="宋体" w:hAnsi="宋体" w:cs="宋体"/>
                      <w:sz w:val="18"/>
                      <w:szCs w:val="18"/>
                      <w:lang w:eastAsia="zh-CN"/>
                    </w:rPr>
                  </w:pPr>
                  <w:r>
                    <w:rPr>
                      <w:rFonts w:hint="eastAsia" w:ascii="宋体" w:hAnsi="宋体" w:cs="宋体"/>
                      <w:sz w:val="18"/>
                      <w:szCs w:val="18"/>
                      <w:lang w:eastAsia="zh-CN"/>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403" w:type="pct"/>
                  <w:vMerge w:val="continue"/>
                  <w:noWrap w:val="0"/>
                  <w:vAlign w:val="center"/>
                </w:tcPr>
                <w:p>
                  <w:pPr>
                    <w:pStyle w:val="4"/>
                    <w:ind w:firstLine="0" w:firstLineChars="0"/>
                    <w:jc w:val="left"/>
                    <w:rPr>
                      <w:rFonts w:hint="eastAsia" w:ascii="宋体" w:hAnsi="宋体" w:cs="宋体"/>
                      <w:spacing w:val="0"/>
                      <w:sz w:val="18"/>
                      <w:szCs w:val="18"/>
                      <w:lang w:val="en-US" w:eastAsia="zh-CN"/>
                    </w:rPr>
                  </w:pPr>
                </w:p>
              </w:tc>
              <w:tc>
                <w:tcPr>
                  <w:tcW w:w="1191" w:type="pct"/>
                  <w:noWrap w:val="0"/>
                  <w:vAlign w:val="center"/>
                </w:tcPr>
                <w:p>
                  <w:pPr>
                    <w:pStyle w:val="4"/>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宋体" w:hAnsi="宋体" w:cs="宋体"/>
                      <w:spacing w:val="0"/>
                      <w:sz w:val="18"/>
                      <w:szCs w:val="18"/>
                      <w:lang w:eastAsia="zh-CN"/>
                    </w:rPr>
                  </w:pPr>
                  <w:r>
                    <w:rPr>
                      <w:rFonts w:hint="eastAsia"/>
                      <w:sz w:val="18"/>
                      <w:szCs w:val="18"/>
                    </w:rPr>
                    <w:t>物资入厂验收批次合格率</w:t>
                  </w:r>
                  <w:r>
                    <w:rPr>
                      <w:rFonts w:hint="eastAsia" w:ascii="宋体" w:hAnsi="宋体"/>
                      <w:sz w:val="18"/>
                      <w:szCs w:val="18"/>
                    </w:rPr>
                    <w:t>≥98%</w:t>
                  </w:r>
                </w:p>
              </w:tc>
              <w:tc>
                <w:tcPr>
                  <w:tcW w:w="1443" w:type="pct"/>
                  <w:noWrap w:val="0"/>
                  <w:vAlign w:val="center"/>
                </w:tcPr>
                <w:p>
                  <w:pPr>
                    <w:pStyle w:val="4"/>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宋体" w:hAnsi="宋体" w:cs="宋体"/>
                      <w:spacing w:val="0"/>
                      <w:sz w:val="18"/>
                      <w:szCs w:val="18"/>
                      <w:lang w:eastAsia="zh-CN"/>
                    </w:rPr>
                  </w:pPr>
                  <w:r>
                    <w:rPr>
                      <w:rFonts w:hint="eastAsia"/>
                      <w:sz w:val="18"/>
                      <w:szCs w:val="18"/>
                    </w:rPr>
                    <w:t>物资入厂验收批次合格率</w:t>
                  </w:r>
                  <w:r>
                    <w:rPr>
                      <w:rFonts w:hint="eastAsia"/>
                      <w:sz w:val="18"/>
                      <w:szCs w:val="18"/>
                      <w:lang w:val="en-US" w:eastAsia="zh-CN"/>
                    </w:rPr>
                    <w:t>100%；</w:t>
                  </w:r>
                </w:p>
              </w:tc>
              <w:tc>
                <w:tcPr>
                  <w:tcW w:w="1423" w:type="pct"/>
                  <w:noWrap w:val="0"/>
                  <w:vAlign w:val="center"/>
                </w:tcPr>
                <w:p>
                  <w:pPr>
                    <w:pStyle w:val="4"/>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sz w:val="18"/>
                      <w:szCs w:val="18"/>
                    </w:rPr>
                  </w:pPr>
                  <w:r>
                    <w:rPr>
                      <w:rFonts w:hint="eastAsia"/>
                      <w:sz w:val="18"/>
                      <w:szCs w:val="18"/>
                    </w:rPr>
                    <w:t>物资入厂验收批次合格率=交验物资验收合格的总数量/交验物资总数量</w:t>
                  </w:r>
                </w:p>
              </w:tc>
              <w:tc>
                <w:tcPr>
                  <w:tcW w:w="53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cs="宋体"/>
                      <w:sz w:val="18"/>
                      <w:szCs w:val="18"/>
                      <w:lang w:eastAsia="zh-CN"/>
                    </w:rPr>
                  </w:pPr>
                  <w:r>
                    <w:rPr>
                      <w:rFonts w:hint="eastAsia" w:ascii="宋体" w:hAnsi="宋体" w:cs="宋体"/>
                      <w:sz w:val="18"/>
                      <w:szCs w:val="18"/>
                      <w:lang w:eastAsia="zh-CN"/>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403" w:type="pct"/>
                  <w:vMerge w:val="continue"/>
                  <w:noWrap w:val="0"/>
                  <w:vAlign w:val="center"/>
                </w:tcPr>
                <w:p>
                  <w:pPr>
                    <w:pStyle w:val="4"/>
                    <w:ind w:firstLine="0" w:firstLineChars="0"/>
                    <w:jc w:val="left"/>
                    <w:rPr>
                      <w:rFonts w:hint="eastAsia" w:ascii="宋体" w:hAnsi="宋体" w:cs="宋体"/>
                      <w:spacing w:val="0"/>
                      <w:sz w:val="18"/>
                      <w:szCs w:val="18"/>
                      <w:lang w:val="en-US" w:eastAsia="zh-CN"/>
                    </w:rPr>
                  </w:pPr>
                </w:p>
              </w:tc>
              <w:tc>
                <w:tcPr>
                  <w:tcW w:w="1191" w:type="pct"/>
                  <w:noWrap w:val="0"/>
                  <w:vAlign w:val="center"/>
                </w:tcPr>
                <w:p>
                  <w:pPr>
                    <w:ind w:right="420"/>
                    <w:jc w:val="both"/>
                    <w:rPr>
                      <w:rFonts w:hint="default" w:ascii="宋体" w:hAnsi="宋体" w:cs="宋体"/>
                      <w:sz w:val="18"/>
                      <w:szCs w:val="18"/>
                      <w:lang w:val="en-US" w:eastAsia="zh-CN"/>
                    </w:rPr>
                  </w:pPr>
                  <w:r>
                    <w:rPr>
                      <w:rFonts w:hint="eastAsia" w:ascii="宋体" w:hAnsi="宋体" w:cs="宋体"/>
                      <w:sz w:val="18"/>
                      <w:szCs w:val="18"/>
                      <w:lang w:eastAsia="zh-CN"/>
                    </w:rPr>
                    <w:t>计量器具校准率</w:t>
                  </w:r>
                  <w:r>
                    <w:rPr>
                      <w:rFonts w:hint="eastAsia" w:ascii="宋体" w:hAnsi="宋体" w:cs="宋体"/>
                      <w:sz w:val="18"/>
                      <w:szCs w:val="18"/>
                      <w:lang w:val="en-US" w:eastAsia="zh-CN"/>
                    </w:rPr>
                    <w:t>100%。</w:t>
                  </w:r>
                </w:p>
                <w:p>
                  <w:pPr>
                    <w:pStyle w:val="4"/>
                    <w:ind w:firstLine="0" w:firstLineChars="0"/>
                    <w:jc w:val="both"/>
                    <w:rPr>
                      <w:rFonts w:hint="eastAsia"/>
                      <w:sz w:val="18"/>
                      <w:szCs w:val="18"/>
                    </w:rPr>
                  </w:pPr>
                </w:p>
              </w:tc>
              <w:tc>
                <w:tcPr>
                  <w:tcW w:w="1443" w:type="pct"/>
                  <w:noWrap w:val="0"/>
                  <w:vAlign w:val="center"/>
                </w:tcPr>
                <w:p>
                  <w:pPr>
                    <w:jc w:val="both"/>
                    <w:rPr>
                      <w:rFonts w:hint="eastAsia" w:ascii="宋体" w:hAnsi="宋体" w:cs="宋体"/>
                      <w:sz w:val="18"/>
                      <w:szCs w:val="18"/>
                    </w:rPr>
                  </w:pPr>
                  <w:r>
                    <w:rPr>
                      <w:rFonts w:hint="eastAsia" w:ascii="宋体" w:hAnsi="宋体" w:cs="宋体"/>
                      <w:sz w:val="18"/>
                      <w:szCs w:val="18"/>
                    </w:rPr>
                    <w:t>计量器具校准率100%;《（</w:t>
                  </w:r>
                  <w:r>
                    <w:rPr>
                      <w:rFonts w:hint="eastAsia" w:ascii="宋体" w:hAnsi="宋体" w:cs="宋体"/>
                      <w:sz w:val="18"/>
                      <w:szCs w:val="18"/>
                      <w:lang w:val="en-US" w:eastAsia="zh-CN"/>
                    </w:rPr>
                    <w:t>63</w:t>
                  </w:r>
                  <w:r>
                    <w:rPr>
                      <w:rFonts w:hint="eastAsia" w:ascii="宋体" w:hAnsi="宋体" w:cs="宋体"/>
                      <w:sz w:val="18"/>
                      <w:szCs w:val="18"/>
                    </w:rPr>
                    <w:t>÷</w:t>
                  </w:r>
                  <w:r>
                    <w:rPr>
                      <w:rFonts w:hint="eastAsia" w:ascii="宋体" w:hAnsi="宋体" w:cs="宋体"/>
                      <w:sz w:val="18"/>
                      <w:szCs w:val="18"/>
                      <w:lang w:val="en-US" w:eastAsia="zh-CN"/>
                    </w:rPr>
                    <w:t>63</w:t>
                  </w:r>
                  <w:r>
                    <w:rPr>
                      <w:rFonts w:hint="eastAsia" w:ascii="宋体" w:hAnsi="宋体" w:cs="宋体"/>
                      <w:sz w:val="18"/>
                      <w:szCs w:val="18"/>
                    </w:rPr>
                    <w:t>）×100%》=100%</w:t>
                  </w:r>
                </w:p>
                <w:p>
                  <w:pPr>
                    <w:pStyle w:val="4"/>
                    <w:ind w:firstLine="0" w:firstLineChars="0"/>
                    <w:jc w:val="both"/>
                    <w:rPr>
                      <w:rFonts w:hint="eastAsia" w:ascii="宋体" w:hAnsi="宋体" w:cs="宋体"/>
                      <w:sz w:val="18"/>
                      <w:szCs w:val="18"/>
                    </w:rPr>
                  </w:pPr>
                  <w:r>
                    <w:rPr>
                      <w:rFonts w:hint="eastAsia" w:ascii="宋体" w:hAnsi="宋体" w:cs="宋体"/>
                      <w:sz w:val="18"/>
                      <w:szCs w:val="18"/>
                    </w:rPr>
                    <w:t>检测仪器100%经过检定、校准；</w:t>
                  </w:r>
                </w:p>
                <w:p>
                  <w:pPr>
                    <w:pStyle w:val="4"/>
                    <w:ind w:firstLine="0" w:firstLineChars="0"/>
                    <w:jc w:val="both"/>
                    <w:rPr>
                      <w:rFonts w:hint="eastAsia"/>
                      <w:sz w:val="18"/>
                      <w:szCs w:val="18"/>
                    </w:rPr>
                  </w:pPr>
                </w:p>
              </w:tc>
              <w:tc>
                <w:tcPr>
                  <w:tcW w:w="1423" w:type="pct"/>
                  <w:noWrap w:val="0"/>
                  <w:vAlign w:val="center"/>
                </w:tcPr>
                <w:p>
                  <w:pPr>
                    <w:pStyle w:val="4"/>
                    <w:ind w:firstLine="0" w:firstLineChars="0"/>
                    <w:jc w:val="both"/>
                    <w:rPr>
                      <w:rFonts w:hint="eastAsia"/>
                      <w:sz w:val="18"/>
                      <w:szCs w:val="18"/>
                    </w:rPr>
                  </w:pPr>
                  <w:r>
                    <w:rPr>
                      <w:rFonts w:hint="eastAsia" w:ascii="宋体" w:hAnsi="宋体" w:cs="宋体"/>
                      <w:sz w:val="18"/>
                      <w:szCs w:val="18"/>
                    </w:rPr>
                    <w:t>计量器具校准率=计量器具校准合格数÷  计量器具校准数×100%</w:t>
                  </w:r>
                </w:p>
              </w:tc>
              <w:tc>
                <w:tcPr>
                  <w:tcW w:w="538" w:type="pct"/>
                  <w:noWrap w:val="0"/>
                  <w:vAlign w:val="center"/>
                </w:tcPr>
                <w:p>
                  <w:pPr>
                    <w:pStyle w:val="4"/>
                    <w:ind w:firstLine="0" w:firstLineChars="0"/>
                    <w:jc w:val="center"/>
                    <w:rPr>
                      <w:rFonts w:hint="eastAsia" w:ascii="宋体" w:hAnsi="宋体" w:cs="宋体"/>
                      <w:sz w:val="18"/>
                      <w:szCs w:val="18"/>
                      <w:lang w:eastAsia="zh-CN"/>
                    </w:rPr>
                  </w:pPr>
                  <w:r>
                    <w:rPr>
                      <w:rFonts w:hint="eastAsia" w:ascii="宋体" w:hAnsi="宋体" w:cs="宋体"/>
                      <w:sz w:val="18"/>
                      <w:szCs w:val="18"/>
                      <w:lang w:eastAsia="zh-CN"/>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403" w:type="pct"/>
                  <w:vMerge w:val="restart"/>
                  <w:noWrap w:val="0"/>
                  <w:vAlign w:val="center"/>
                </w:tcPr>
                <w:p>
                  <w:pPr>
                    <w:pStyle w:val="4"/>
                    <w:ind w:firstLine="0" w:firstLineChars="0"/>
                    <w:jc w:val="left"/>
                    <w:rPr>
                      <w:rFonts w:hint="eastAsia" w:ascii="宋体" w:hAnsi="宋体" w:cs="宋体"/>
                      <w:spacing w:val="0"/>
                      <w:sz w:val="18"/>
                      <w:szCs w:val="18"/>
                      <w:lang w:val="en-US" w:eastAsia="zh-CN"/>
                    </w:rPr>
                  </w:pPr>
                  <w:r>
                    <w:rPr>
                      <w:rFonts w:hint="eastAsia" w:ascii="宋体" w:hAnsi="宋体" w:cs="宋体"/>
                      <w:spacing w:val="0"/>
                      <w:sz w:val="18"/>
                      <w:szCs w:val="18"/>
                      <w:lang w:val="en-US" w:eastAsia="zh-CN"/>
                    </w:rPr>
                    <w:t>财务部</w:t>
                  </w:r>
                </w:p>
              </w:tc>
              <w:tc>
                <w:tcPr>
                  <w:tcW w:w="1191" w:type="pct"/>
                  <w:noWrap w:val="0"/>
                  <w:vAlign w:val="center"/>
                </w:tcPr>
                <w:p>
                  <w:pPr>
                    <w:pStyle w:val="4"/>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default" w:eastAsia="宋体"/>
                      <w:sz w:val="18"/>
                      <w:szCs w:val="18"/>
                      <w:lang w:val="en-US" w:eastAsia="zh-CN"/>
                    </w:rPr>
                  </w:pPr>
                  <w:r>
                    <w:rPr>
                      <w:rFonts w:hint="eastAsia"/>
                      <w:sz w:val="18"/>
                      <w:szCs w:val="18"/>
                      <w:lang w:eastAsia="zh-CN"/>
                    </w:rPr>
                    <w:t>质量成本数据统计准确率</w:t>
                  </w:r>
                  <w:r>
                    <w:rPr>
                      <w:rFonts w:hint="eastAsia"/>
                      <w:sz w:val="18"/>
                      <w:szCs w:val="18"/>
                      <w:lang w:val="en-US" w:eastAsia="zh-CN"/>
                    </w:rPr>
                    <w:t>99%</w:t>
                  </w:r>
                </w:p>
              </w:tc>
              <w:tc>
                <w:tcPr>
                  <w:tcW w:w="1443" w:type="pct"/>
                  <w:noWrap w:val="0"/>
                  <w:vAlign w:val="center"/>
                </w:tcPr>
                <w:p>
                  <w:pPr>
                    <w:pStyle w:val="4"/>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eastAsia="宋体"/>
                      <w:sz w:val="18"/>
                      <w:szCs w:val="18"/>
                      <w:lang w:eastAsia="zh-CN"/>
                    </w:rPr>
                  </w:pPr>
                  <w:r>
                    <w:rPr>
                      <w:rFonts w:hint="eastAsia"/>
                      <w:sz w:val="18"/>
                      <w:szCs w:val="18"/>
                      <w:lang w:eastAsia="zh-CN"/>
                    </w:rPr>
                    <w:t>及时收集质量成本数量</w:t>
                  </w:r>
                </w:p>
              </w:tc>
              <w:tc>
                <w:tcPr>
                  <w:tcW w:w="1423" w:type="pct"/>
                  <w:noWrap w:val="0"/>
                  <w:vAlign w:val="center"/>
                </w:tcPr>
                <w:p>
                  <w:pPr>
                    <w:pStyle w:val="4"/>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sz w:val="18"/>
                      <w:szCs w:val="18"/>
                    </w:rPr>
                  </w:pPr>
                  <w:r>
                    <w:rPr>
                      <w:rFonts w:hint="eastAsia"/>
                      <w:sz w:val="18"/>
                      <w:szCs w:val="18"/>
                      <w:lang w:eastAsia="zh-CN"/>
                    </w:rPr>
                    <w:t>统计准确率</w:t>
                  </w:r>
                  <w:r>
                    <w:rPr>
                      <w:rFonts w:hint="eastAsia"/>
                      <w:sz w:val="18"/>
                      <w:szCs w:val="18"/>
                      <w:lang w:val="en-US" w:eastAsia="zh-CN"/>
                    </w:rPr>
                    <w:t>100%</w:t>
                  </w:r>
                </w:p>
              </w:tc>
              <w:tc>
                <w:tcPr>
                  <w:tcW w:w="53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cs="宋体"/>
                      <w:sz w:val="18"/>
                      <w:szCs w:val="18"/>
                      <w:lang w:eastAsia="zh-CN"/>
                    </w:rPr>
                  </w:pPr>
                  <w:r>
                    <w:rPr>
                      <w:rFonts w:hint="eastAsia" w:ascii="宋体" w:hAnsi="宋体" w:cs="宋体"/>
                      <w:sz w:val="18"/>
                      <w:szCs w:val="18"/>
                      <w:lang w:eastAsia="zh-CN"/>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403" w:type="pct"/>
                  <w:vMerge w:val="continue"/>
                  <w:noWrap w:val="0"/>
                  <w:vAlign w:val="center"/>
                </w:tcPr>
                <w:p>
                  <w:pPr>
                    <w:pStyle w:val="4"/>
                    <w:ind w:firstLine="0" w:firstLineChars="0"/>
                    <w:jc w:val="left"/>
                    <w:rPr>
                      <w:rFonts w:hint="eastAsia" w:ascii="宋体" w:hAnsi="宋体" w:cs="宋体"/>
                      <w:spacing w:val="0"/>
                      <w:sz w:val="18"/>
                      <w:szCs w:val="18"/>
                      <w:lang w:val="en-US" w:eastAsia="zh-CN"/>
                    </w:rPr>
                  </w:pPr>
                </w:p>
              </w:tc>
              <w:tc>
                <w:tcPr>
                  <w:tcW w:w="1191" w:type="pct"/>
                  <w:noWrap w:val="0"/>
                  <w:vAlign w:val="center"/>
                </w:tcPr>
                <w:p>
                  <w:pPr>
                    <w:pStyle w:val="4"/>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default"/>
                      <w:sz w:val="18"/>
                      <w:szCs w:val="18"/>
                      <w:lang w:val="en-US" w:eastAsia="zh-CN"/>
                    </w:rPr>
                  </w:pPr>
                  <w:r>
                    <w:rPr>
                      <w:rFonts w:hint="eastAsia"/>
                      <w:sz w:val="18"/>
                      <w:szCs w:val="18"/>
                      <w:lang w:eastAsia="zh-CN"/>
                    </w:rPr>
                    <w:t>确保与质量有关财务数据的正确率</w:t>
                  </w:r>
                  <w:r>
                    <w:rPr>
                      <w:rFonts w:hint="eastAsia"/>
                      <w:sz w:val="18"/>
                      <w:szCs w:val="18"/>
                      <w:lang w:val="en-US" w:eastAsia="zh-CN"/>
                    </w:rPr>
                    <w:t>100%</w:t>
                  </w:r>
                </w:p>
              </w:tc>
              <w:tc>
                <w:tcPr>
                  <w:tcW w:w="1443" w:type="pct"/>
                  <w:noWrap w:val="0"/>
                  <w:vAlign w:val="center"/>
                </w:tcPr>
                <w:p>
                  <w:pPr>
                    <w:pStyle w:val="4"/>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sz w:val="18"/>
                      <w:szCs w:val="18"/>
                      <w:lang w:eastAsia="zh-CN"/>
                    </w:rPr>
                  </w:pPr>
                  <w:r>
                    <w:rPr>
                      <w:rFonts w:hint="eastAsia"/>
                      <w:sz w:val="18"/>
                      <w:szCs w:val="18"/>
                      <w:lang w:eastAsia="zh-CN"/>
                    </w:rPr>
                    <w:t>对质量成本、数据进行统计分析</w:t>
                  </w:r>
                </w:p>
              </w:tc>
              <w:tc>
                <w:tcPr>
                  <w:tcW w:w="1423" w:type="pct"/>
                  <w:noWrap w:val="0"/>
                  <w:vAlign w:val="center"/>
                </w:tcPr>
                <w:p>
                  <w:pPr>
                    <w:pStyle w:val="4"/>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sz w:val="18"/>
                      <w:szCs w:val="18"/>
                    </w:rPr>
                  </w:pPr>
                  <w:r>
                    <w:rPr>
                      <w:rFonts w:hint="eastAsia"/>
                      <w:sz w:val="18"/>
                      <w:szCs w:val="18"/>
                      <w:lang w:eastAsia="zh-CN"/>
                    </w:rPr>
                    <w:t>正确率</w:t>
                  </w:r>
                  <w:r>
                    <w:rPr>
                      <w:rFonts w:hint="eastAsia"/>
                      <w:sz w:val="18"/>
                      <w:szCs w:val="18"/>
                      <w:lang w:val="en-US" w:eastAsia="zh-CN"/>
                    </w:rPr>
                    <w:t>100%</w:t>
                  </w:r>
                </w:p>
              </w:tc>
              <w:tc>
                <w:tcPr>
                  <w:tcW w:w="53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cs="宋体"/>
                      <w:sz w:val="18"/>
                      <w:szCs w:val="18"/>
                      <w:lang w:eastAsia="zh-CN"/>
                    </w:rPr>
                  </w:pPr>
                  <w:r>
                    <w:rPr>
                      <w:rFonts w:hint="eastAsia" w:ascii="宋体" w:hAnsi="宋体" w:cs="宋体"/>
                      <w:sz w:val="18"/>
                      <w:szCs w:val="18"/>
                      <w:lang w:eastAsia="zh-CN"/>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403" w:type="pct"/>
                  <w:vMerge w:val="continue"/>
                  <w:noWrap w:val="0"/>
                  <w:vAlign w:val="center"/>
                </w:tcPr>
                <w:p>
                  <w:pPr>
                    <w:pStyle w:val="4"/>
                    <w:ind w:firstLine="0" w:firstLineChars="0"/>
                    <w:jc w:val="left"/>
                    <w:rPr>
                      <w:rFonts w:hint="eastAsia" w:ascii="宋体" w:hAnsi="宋体" w:cs="宋体"/>
                      <w:spacing w:val="0"/>
                      <w:sz w:val="18"/>
                      <w:szCs w:val="18"/>
                      <w:lang w:val="en-US" w:eastAsia="zh-CN"/>
                    </w:rPr>
                  </w:pPr>
                </w:p>
              </w:tc>
              <w:tc>
                <w:tcPr>
                  <w:tcW w:w="1191" w:type="pct"/>
                  <w:noWrap w:val="0"/>
                  <w:vAlign w:val="center"/>
                </w:tcPr>
                <w:p>
                  <w:pPr>
                    <w:pStyle w:val="4"/>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sz w:val="18"/>
                      <w:szCs w:val="18"/>
                      <w:lang w:eastAsia="zh-CN"/>
                    </w:rPr>
                  </w:pPr>
                  <w:r>
                    <w:rPr>
                      <w:rFonts w:hint="eastAsia"/>
                      <w:sz w:val="18"/>
                      <w:szCs w:val="18"/>
                      <w:lang w:eastAsia="zh-CN"/>
                    </w:rPr>
                    <w:t>资源配置所需资金及时到位</w:t>
                  </w:r>
                </w:p>
              </w:tc>
              <w:tc>
                <w:tcPr>
                  <w:tcW w:w="1443" w:type="pct"/>
                  <w:noWrap w:val="0"/>
                  <w:vAlign w:val="center"/>
                </w:tcPr>
                <w:p>
                  <w:pPr>
                    <w:pStyle w:val="4"/>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sz w:val="18"/>
                      <w:szCs w:val="18"/>
                      <w:lang w:eastAsia="zh-CN"/>
                    </w:rPr>
                  </w:pPr>
                  <w:r>
                    <w:rPr>
                      <w:rFonts w:hint="eastAsia"/>
                      <w:sz w:val="18"/>
                      <w:szCs w:val="18"/>
                      <w:lang w:eastAsia="zh-CN"/>
                    </w:rPr>
                    <w:t>做好资金预算与结算工作</w:t>
                  </w:r>
                </w:p>
              </w:tc>
              <w:tc>
                <w:tcPr>
                  <w:tcW w:w="1423" w:type="pct"/>
                  <w:noWrap w:val="0"/>
                  <w:vAlign w:val="center"/>
                </w:tcPr>
                <w:p>
                  <w:pPr>
                    <w:pStyle w:val="4"/>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eastAsia="宋体"/>
                      <w:sz w:val="18"/>
                      <w:szCs w:val="18"/>
                      <w:lang w:eastAsia="zh-CN"/>
                    </w:rPr>
                  </w:pPr>
                  <w:r>
                    <w:rPr>
                      <w:rFonts w:hint="eastAsia"/>
                      <w:sz w:val="18"/>
                      <w:szCs w:val="18"/>
                      <w:lang w:eastAsia="zh-CN"/>
                    </w:rPr>
                    <w:t>资金保证能基本满足生产需求</w:t>
                  </w:r>
                </w:p>
              </w:tc>
              <w:tc>
                <w:tcPr>
                  <w:tcW w:w="53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cs="宋体"/>
                      <w:sz w:val="18"/>
                      <w:szCs w:val="18"/>
                      <w:lang w:eastAsia="zh-CN"/>
                    </w:rPr>
                  </w:pPr>
                  <w:r>
                    <w:rPr>
                      <w:rFonts w:hint="eastAsia" w:ascii="宋体" w:hAnsi="宋体" w:cs="宋体"/>
                      <w:sz w:val="18"/>
                      <w:szCs w:val="18"/>
                      <w:lang w:eastAsia="zh-CN"/>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403" w:type="pct"/>
                  <w:vMerge w:val="continue"/>
                  <w:noWrap w:val="0"/>
                  <w:vAlign w:val="center"/>
                </w:tcPr>
                <w:p>
                  <w:pPr>
                    <w:pStyle w:val="4"/>
                    <w:ind w:firstLine="0" w:firstLineChars="0"/>
                    <w:jc w:val="left"/>
                    <w:rPr>
                      <w:rFonts w:hint="eastAsia" w:ascii="宋体" w:hAnsi="宋体" w:cs="宋体"/>
                      <w:spacing w:val="0"/>
                      <w:sz w:val="18"/>
                      <w:szCs w:val="18"/>
                      <w:lang w:val="en-US" w:eastAsia="zh-CN"/>
                    </w:rPr>
                  </w:pPr>
                </w:p>
              </w:tc>
              <w:tc>
                <w:tcPr>
                  <w:tcW w:w="1191" w:type="pct"/>
                  <w:noWrap w:val="0"/>
                  <w:vAlign w:val="center"/>
                </w:tcPr>
                <w:p>
                  <w:pPr>
                    <w:pStyle w:val="4"/>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default"/>
                      <w:sz w:val="18"/>
                      <w:szCs w:val="18"/>
                      <w:lang w:val="en-US" w:eastAsia="zh-CN"/>
                    </w:rPr>
                  </w:pPr>
                  <w:r>
                    <w:rPr>
                      <w:rFonts w:hint="eastAsia"/>
                      <w:sz w:val="18"/>
                      <w:szCs w:val="18"/>
                      <w:lang w:eastAsia="zh-CN"/>
                    </w:rPr>
                    <w:t>物资库存资金稽核率</w:t>
                  </w:r>
                  <w:r>
                    <w:rPr>
                      <w:rFonts w:hint="eastAsia"/>
                      <w:sz w:val="18"/>
                      <w:szCs w:val="18"/>
                      <w:lang w:val="en-US" w:eastAsia="zh-CN"/>
                    </w:rPr>
                    <w:t>100%</w:t>
                  </w:r>
                </w:p>
              </w:tc>
              <w:tc>
                <w:tcPr>
                  <w:tcW w:w="1443" w:type="pct"/>
                  <w:noWrap w:val="0"/>
                  <w:vAlign w:val="center"/>
                </w:tcPr>
                <w:p>
                  <w:pPr>
                    <w:pStyle w:val="4"/>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sz w:val="18"/>
                      <w:szCs w:val="18"/>
                      <w:lang w:eastAsia="zh-CN"/>
                    </w:rPr>
                  </w:pPr>
                  <w:r>
                    <w:rPr>
                      <w:rFonts w:hint="eastAsia"/>
                      <w:sz w:val="18"/>
                      <w:szCs w:val="18"/>
                      <w:lang w:eastAsia="zh-CN"/>
                    </w:rPr>
                    <w:t>对各类物资库存资金组织进行稽核，确保库存帐、卡、物一致。</w:t>
                  </w:r>
                </w:p>
              </w:tc>
              <w:tc>
                <w:tcPr>
                  <w:tcW w:w="1423" w:type="pct"/>
                  <w:noWrap w:val="0"/>
                  <w:vAlign w:val="center"/>
                </w:tcPr>
                <w:p>
                  <w:pPr>
                    <w:pStyle w:val="4"/>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default"/>
                      <w:sz w:val="18"/>
                      <w:szCs w:val="18"/>
                      <w:lang w:val="en-US"/>
                    </w:rPr>
                  </w:pPr>
                  <w:r>
                    <w:rPr>
                      <w:rFonts w:hint="eastAsia"/>
                      <w:sz w:val="18"/>
                      <w:szCs w:val="18"/>
                      <w:lang w:val="en-US" w:eastAsia="zh-CN"/>
                    </w:rPr>
                    <w:t>100%完成</w:t>
                  </w:r>
                </w:p>
              </w:tc>
              <w:tc>
                <w:tcPr>
                  <w:tcW w:w="53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cs="宋体"/>
                      <w:sz w:val="18"/>
                      <w:szCs w:val="18"/>
                      <w:lang w:eastAsia="zh-CN"/>
                    </w:rPr>
                  </w:pPr>
                  <w:r>
                    <w:rPr>
                      <w:rFonts w:hint="eastAsia" w:ascii="宋体" w:hAnsi="宋体" w:cs="宋体"/>
                      <w:sz w:val="18"/>
                      <w:szCs w:val="18"/>
                      <w:lang w:eastAsia="zh-CN"/>
                    </w:rPr>
                    <w:t>季度</w:t>
                  </w:r>
                </w:p>
              </w:tc>
            </w:tr>
          </w:tbl>
          <w:p>
            <w:pPr>
              <w:spacing w:line="360" w:lineRule="auto"/>
              <w:rPr>
                <w:rFonts w:hint="default" w:ascii="Times New Roman" w:hAnsi="Times New Roman" w:cs="Times New Roman"/>
                <w:szCs w:val="24"/>
              </w:rPr>
            </w:pPr>
          </w:p>
        </w:tc>
        <w:tc>
          <w:tcPr>
            <w:tcW w:w="1054" w:type="dxa"/>
            <w:vAlign w:val="center"/>
          </w:tcPr>
          <w:p>
            <w:pPr>
              <w:jc w:val="center"/>
              <w:rPr>
                <w:rFonts w:hint="default" w:ascii="Times New Roman" w:hAnsi="Times New Roman" w:cs="Times New Roman"/>
                <w:sz w:val="24"/>
                <w:szCs w:val="24"/>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019" w:type="dxa"/>
            <w:vAlign w:val="center"/>
          </w:tcPr>
          <w:p>
            <w:pPr>
              <w:rPr>
                <w:rFonts w:hint="default" w:ascii="Times New Roman" w:hAnsi="Times New Roman" w:cs="Times New Roman"/>
                <w:szCs w:val="24"/>
              </w:rPr>
            </w:pPr>
            <w:r>
              <w:rPr>
                <w:rFonts w:hint="default" w:ascii="Times New Roman" w:hAnsi="Times New Roman" w:cs="Times New Roman"/>
                <w:szCs w:val="24"/>
              </w:rPr>
              <w:t>变更的策划</w:t>
            </w:r>
          </w:p>
        </w:tc>
        <w:tc>
          <w:tcPr>
            <w:tcW w:w="1292" w:type="dxa"/>
            <w:vAlign w:val="center"/>
          </w:tcPr>
          <w:p>
            <w:pPr>
              <w:rPr>
                <w:rFonts w:hint="default" w:ascii="Times New Roman" w:hAnsi="Times New Roman" w:cs="Times New Roman"/>
                <w:szCs w:val="24"/>
              </w:rPr>
            </w:pPr>
            <w:r>
              <w:rPr>
                <w:rFonts w:hint="default" w:ascii="Times New Roman" w:hAnsi="Times New Roman" w:cs="Times New Roman"/>
                <w:szCs w:val="24"/>
              </w:rPr>
              <w:t>Q：6.3</w:t>
            </w:r>
          </w:p>
        </w:tc>
        <w:tc>
          <w:tcPr>
            <w:tcW w:w="10344" w:type="dxa"/>
            <w:vAlign w:val="center"/>
          </w:tcPr>
          <w:p>
            <w:pPr>
              <w:spacing w:line="360" w:lineRule="auto"/>
              <w:ind w:firstLine="420" w:firstLineChars="200"/>
              <w:rPr>
                <w:rFonts w:hint="default" w:ascii="Times New Roman" w:hAnsi="Times New Roman" w:cs="Times New Roman"/>
                <w:szCs w:val="24"/>
              </w:rPr>
            </w:pPr>
            <w:r>
              <w:rPr>
                <w:rFonts w:hint="eastAsia" w:cs="Times New Roman"/>
                <w:szCs w:val="24"/>
                <w:lang w:eastAsia="zh-CN"/>
              </w:rPr>
              <w:t>管代</w:t>
            </w:r>
            <w:r>
              <w:rPr>
                <w:rFonts w:hint="default" w:ascii="Times New Roman" w:hAnsi="Times New Roman" w:cs="Times New Roman"/>
                <w:szCs w:val="24"/>
              </w:rPr>
              <w:t>介绍变更时应考虑到：变更目的及其潜在后果；质量管理体系的完整性；资源的可获得性；责任和权限的分配或再分配。并要求对变更质量管理体系应进行评审，确保文件的适宜性，经批准后发布实施，目前暂未发生质量管理体系的变更。</w:t>
            </w:r>
          </w:p>
        </w:tc>
        <w:tc>
          <w:tcPr>
            <w:tcW w:w="1054" w:type="dxa"/>
            <w:vAlign w:val="center"/>
          </w:tcPr>
          <w:p>
            <w:pPr>
              <w:jc w:val="center"/>
              <w:rPr>
                <w:rFonts w:hint="default" w:ascii="Times New Roman" w:hAnsi="Times New Roman" w:cs="Times New Roman"/>
                <w:sz w:val="24"/>
                <w:szCs w:val="24"/>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2019" w:type="dxa"/>
            <w:vAlign w:val="center"/>
          </w:tcPr>
          <w:p>
            <w:pPr>
              <w:rPr>
                <w:rFonts w:hint="default" w:ascii="Times New Roman" w:hAnsi="Times New Roman" w:cs="Times New Roman"/>
                <w:szCs w:val="24"/>
              </w:rPr>
            </w:pPr>
            <w:r>
              <w:rPr>
                <w:rFonts w:hint="default" w:ascii="Times New Roman" w:hAnsi="Times New Roman" w:cs="Times New Roman"/>
                <w:szCs w:val="24"/>
              </w:rPr>
              <w:t>资源</w:t>
            </w:r>
          </w:p>
        </w:tc>
        <w:tc>
          <w:tcPr>
            <w:tcW w:w="1292" w:type="dxa"/>
            <w:vAlign w:val="center"/>
          </w:tcPr>
          <w:p>
            <w:pPr>
              <w:rPr>
                <w:rFonts w:hint="default" w:ascii="Times New Roman" w:hAnsi="Times New Roman" w:cs="Times New Roman"/>
                <w:szCs w:val="24"/>
              </w:rPr>
            </w:pPr>
            <w:r>
              <w:rPr>
                <w:rFonts w:hint="default" w:ascii="Times New Roman" w:hAnsi="Times New Roman" w:cs="Times New Roman"/>
                <w:szCs w:val="24"/>
              </w:rPr>
              <w:t xml:space="preserve">Q：7.1.1  </w:t>
            </w:r>
          </w:p>
        </w:tc>
        <w:tc>
          <w:tcPr>
            <w:tcW w:w="10344" w:type="dxa"/>
            <w:vAlign w:val="center"/>
          </w:tcPr>
          <w:p>
            <w:pPr>
              <w:snapToGrid w:val="0"/>
              <w:spacing w:line="360" w:lineRule="auto"/>
              <w:ind w:firstLine="420" w:firstLineChars="200"/>
              <w:rPr>
                <w:rFonts w:hint="default" w:ascii="Times New Roman" w:hAnsi="Times New Roman" w:cs="Times New Roman"/>
                <w:szCs w:val="24"/>
              </w:rPr>
            </w:pPr>
            <w:r>
              <w:rPr>
                <w:rFonts w:hint="default" w:ascii="Times New Roman" w:hAnsi="Times New Roman" w:cs="Times New Roman"/>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pPr>
              <w:snapToGrid w:val="0"/>
              <w:spacing w:line="360" w:lineRule="auto"/>
              <w:ind w:firstLine="420" w:firstLineChars="200"/>
              <w:rPr>
                <w:rFonts w:hint="default" w:ascii="Times New Roman" w:hAnsi="Times New Roman" w:cs="Times New Roman"/>
                <w:szCs w:val="24"/>
              </w:rPr>
            </w:pPr>
            <w:r>
              <w:rPr>
                <w:rFonts w:hint="default" w:ascii="Times New Roman" w:hAnsi="Times New Roman" w:cs="Times New Roman"/>
                <w:szCs w:val="24"/>
              </w:rPr>
              <w:t>总经理主持了今年的管理评审，对方针、目标的适宜性进行了评审，协助管代进行了内审，确保所需资源得到满足。</w:t>
            </w:r>
          </w:p>
          <w:p>
            <w:pPr>
              <w:autoSpaceDE w:val="0"/>
              <w:autoSpaceDN w:val="0"/>
              <w:adjustRightInd w:val="0"/>
              <w:spacing w:line="360" w:lineRule="auto"/>
              <w:ind w:firstLine="420" w:firstLineChars="200"/>
              <w:rPr>
                <w:rFonts w:hint="default" w:ascii="Times New Roman" w:hAnsi="Times New Roman" w:cs="Times New Roman"/>
                <w:szCs w:val="24"/>
              </w:rPr>
            </w:pPr>
            <w:r>
              <w:rPr>
                <w:rFonts w:hint="default" w:ascii="Times New Roman" w:hAnsi="Times New Roman" w:cs="Times New Roman"/>
                <w:szCs w:val="24"/>
              </w:rPr>
              <w:t>通过现场观察及与领导沟通了解到，公司为确保管理体系的有效运行和持续改进，确保满足顾客要求，增强顾客满意，确定并提供了必要的资源，目前</w:t>
            </w:r>
            <w:r>
              <w:rPr>
                <w:rFonts w:hint="eastAsia" w:cs="Times New Roman"/>
                <w:szCs w:val="24"/>
                <w:lang w:eastAsia="zh-CN"/>
              </w:rPr>
              <w:t>行政部</w:t>
            </w:r>
            <w:r>
              <w:rPr>
                <w:rFonts w:hint="default" w:ascii="Times New Roman" w:hAnsi="Times New Roman" w:cs="Times New Roman"/>
                <w:szCs w:val="24"/>
              </w:rPr>
              <w:t>资源配备基本能满足要求，机构设置合理。经过管理体系运行证明，现有资源可满足体系和产品的要求。</w:t>
            </w:r>
          </w:p>
          <w:p>
            <w:pPr>
              <w:spacing w:line="360" w:lineRule="auto"/>
              <w:ind w:firstLine="420" w:firstLineChars="200"/>
              <w:rPr>
                <w:rFonts w:hint="default" w:ascii="Times New Roman" w:hAnsi="Times New Roman" w:cs="Times New Roman"/>
                <w:szCs w:val="24"/>
              </w:rPr>
            </w:pPr>
            <w:r>
              <w:rPr>
                <w:rFonts w:hint="default" w:ascii="Times New Roman" w:hAnsi="Times New Roman" w:cs="Times New Roman"/>
                <w:szCs w:val="24"/>
              </w:rPr>
              <w:t>公司目前的基础设施，能够满足当前</w:t>
            </w:r>
            <w:r>
              <w:rPr>
                <w:rFonts w:hint="eastAsia" w:cs="Times New Roman"/>
                <w:szCs w:val="24"/>
                <w:lang w:eastAsia="zh-CN"/>
              </w:rPr>
              <w:t>质量管理</w:t>
            </w:r>
            <w:r>
              <w:rPr>
                <w:rFonts w:hint="default" w:ascii="Times New Roman" w:hAnsi="Times New Roman" w:cs="Times New Roman"/>
                <w:szCs w:val="24"/>
              </w:rPr>
              <w:t>体系的要求。公司将依据经营发展的需要，会不断补充与增加。</w:t>
            </w:r>
          </w:p>
        </w:tc>
        <w:tc>
          <w:tcPr>
            <w:tcW w:w="1054" w:type="dxa"/>
            <w:vAlign w:val="center"/>
          </w:tcPr>
          <w:p>
            <w:pPr>
              <w:jc w:val="center"/>
              <w:rPr>
                <w:rFonts w:hint="default" w:ascii="Times New Roman" w:hAnsi="Times New Roman" w:cs="Times New Roman"/>
                <w:sz w:val="24"/>
                <w:szCs w:val="24"/>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19" w:type="dxa"/>
            <w:vAlign w:val="center"/>
          </w:tcPr>
          <w:p>
            <w:pPr>
              <w:rPr>
                <w:rFonts w:hint="default" w:ascii="Times New Roman" w:hAnsi="Times New Roman" w:cs="Times New Roman"/>
                <w:szCs w:val="24"/>
              </w:rPr>
            </w:pPr>
            <w:r>
              <w:rPr>
                <w:rFonts w:hint="default" w:ascii="Times New Roman" w:hAnsi="Times New Roman" w:cs="Times New Roman"/>
                <w:szCs w:val="24"/>
              </w:rPr>
              <w:t>信息交流</w:t>
            </w:r>
          </w:p>
        </w:tc>
        <w:tc>
          <w:tcPr>
            <w:tcW w:w="1292" w:type="dxa"/>
            <w:vAlign w:val="center"/>
          </w:tcPr>
          <w:p>
            <w:pPr>
              <w:rPr>
                <w:rFonts w:hint="default" w:ascii="Times New Roman" w:hAnsi="Times New Roman" w:cs="Times New Roman"/>
                <w:szCs w:val="24"/>
              </w:rPr>
            </w:pPr>
            <w:r>
              <w:rPr>
                <w:rFonts w:hint="default" w:ascii="Times New Roman" w:hAnsi="Times New Roman" w:cs="Times New Roman"/>
                <w:szCs w:val="24"/>
              </w:rPr>
              <w:t xml:space="preserve">Q：7.4  </w:t>
            </w:r>
          </w:p>
          <w:p>
            <w:pPr>
              <w:rPr>
                <w:rFonts w:hint="default" w:ascii="Times New Roman" w:hAnsi="Times New Roman" w:cs="Times New Roman"/>
                <w:szCs w:val="24"/>
              </w:rPr>
            </w:pPr>
          </w:p>
        </w:tc>
        <w:tc>
          <w:tcPr>
            <w:tcW w:w="10344" w:type="dxa"/>
            <w:vAlign w:val="center"/>
          </w:tcPr>
          <w:p>
            <w:pPr>
              <w:spacing w:line="360" w:lineRule="auto"/>
              <w:ind w:firstLine="468"/>
              <w:rPr>
                <w:rFonts w:hint="default" w:ascii="Times New Roman" w:hAnsi="Times New Roman" w:cs="Times New Roman"/>
                <w:szCs w:val="24"/>
              </w:rPr>
            </w:pPr>
            <w:r>
              <w:rPr>
                <w:rFonts w:hint="default" w:ascii="Times New Roman" w:hAnsi="Times New Roman" w:cs="Times New Roman"/>
                <w:szCs w:val="24"/>
              </w:rPr>
              <w:t>组织在各部门之间建立了与体系有关的信息通渠沟道，借助于会议、电话、口头交流等方式使全体员工达到沟通和理解。目前各部门协调一致，工作上的借口基本理顺。</w:t>
            </w:r>
          </w:p>
          <w:p>
            <w:pPr>
              <w:tabs>
                <w:tab w:val="left" w:pos="9720"/>
                <w:tab w:val="left" w:pos="9900"/>
              </w:tabs>
              <w:spacing w:beforeLines="20" w:afterLines="20" w:line="360" w:lineRule="auto"/>
              <w:ind w:firstLine="420" w:firstLineChars="200"/>
              <w:rPr>
                <w:rFonts w:hint="default" w:ascii="Times New Roman" w:hAnsi="Times New Roman" w:cs="Times New Roman"/>
                <w:szCs w:val="24"/>
              </w:rPr>
            </w:pPr>
            <w:r>
              <w:rPr>
                <w:rFonts w:hint="default" w:ascii="Times New Roman" w:hAnsi="Times New Roman" w:cs="Times New Roman"/>
                <w:szCs w:val="24"/>
              </w:rPr>
              <w:t>总经理</w:t>
            </w:r>
            <w:r>
              <w:rPr>
                <w:rFonts w:hint="eastAsia" w:cs="Times New Roman"/>
                <w:szCs w:val="24"/>
                <w:lang w:eastAsia="zh-CN"/>
              </w:rPr>
              <w:t>唐进波</w:t>
            </w:r>
            <w:r>
              <w:rPr>
                <w:rFonts w:hint="default" w:ascii="Times New Roman" w:hAnsi="Times New Roman" w:cs="Times New Roman"/>
                <w:szCs w:val="24"/>
              </w:rPr>
              <w:t>定期主持经营办公例会，分析公司的发展、市场情况和体系运行是否有效，管理目标完成情况，满足顾客要求和法规程度，改进建议等内部管理存在问题等。</w:t>
            </w:r>
          </w:p>
          <w:p>
            <w:pPr>
              <w:tabs>
                <w:tab w:val="left" w:pos="9720"/>
                <w:tab w:val="left" w:pos="9900"/>
              </w:tabs>
              <w:spacing w:beforeLines="20" w:afterLines="20" w:line="360" w:lineRule="auto"/>
              <w:ind w:firstLine="420" w:firstLineChars="200"/>
              <w:rPr>
                <w:rFonts w:hint="default" w:ascii="Times New Roman" w:hAnsi="Times New Roman" w:cs="Times New Roman"/>
                <w:szCs w:val="24"/>
              </w:rPr>
            </w:pPr>
            <w:r>
              <w:rPr>
                <w:rFonts w:hint="default" w:ascii="Times New Roman" w:hAnsi="Times New Roman" w:cs="Times New Roman"/>
                <w:szCs w:val="24"/>
              </w:rPr>
              <w:t>总经理</w:t>
            </w:r>
            <w:r>
              <w:rPr>
                <w:rFonts w:hint="eastAsia" w:cs="Times New Roman"/>
                <w:szCs w:val="24"/>
                <w:lang w:eastAsia="zh-CN"/>
              </w:rPr>
              <w:t>唐进波</w:t>
            </w:r>
            <w:r>
              <w:rPr>
                <w:rFonts w:hint="default" w:ascii="Times New Roman" w:hAnsi="Times New Roman" w:cs="Times New Roman"/>
                <w:szCs w:val="24"/>
              </w:rPr>
              <w:t>为协商、参与提供了时间、机会、培训、资源等保障，明确了沟通、协商、参与渠道，消除了障碍和壁垒。</w:t>
            </w:r>
            <w:bookmarkStart w:id="3" w:name="_GoBack"/>
            <w:bookmarkEnd w:id="3"/>
          </w:p>
          <w:p>
            <w:pPr>
              <w:tabs>
                <w:tab w:val="left" w:pos="9720"/>
                <w:tab w:val="left" w:pos="9900"/>
              </w:tabs>
              <w:spacing w:beforeLines="20" w:afterLines="20" w:line="360" w:lineRule="auto"/>
              <w:ind w:firstLine="420" w:firstLineChars="200"/>
              <w:rPr>
                <w:rFonts w:hint="default" w:ascii="Times New Roman" w:hAnsi="Times New Roman" w:cs="Times New Roman"/>
                <w:szCs w:val="24"/>
              </w:rPr>
            </w:pPr>
            <w:r>
              <w:rPr>
                <w:rFonts w:hint="default" w:ascii="Times New Roman" w:hAnsi="Times New Roman" w:cs="Times New Roman"/>
                <w:szCs w:val="24"/>
              </w:rPr>
              <w:t>管代</w:t>
            </w:r>
            <w:r>
              <w:rPr>
                <w:rFonts w:hint="eastAsia" w:ascii="Times New Roman" w:hAnsi="Times New Roman" w:cs="Times New Roman"/>
                <w:szCs w:val="24"/>
                <w:lang w:val="en-US" w:eastAsia="zh-CN"/>
              </w:rPr>
              <w:t>肖欣戈</w:t>
            </w:r>
            <w:r>
              <w:rPr>
                <w:rFonts w:hint="default" w:ascii="Times New Roman" w:hAnsi="Times New Roman" w:cs="Times New Roman"/>
                <w:szCs w:val="24"/>
              </w:rPr>
              <w:t>介绍公司</w:t>
            </w:r>
            <w:r>
              <w:rPr>
                <w:rFonts w:hint="eastAsia" w:cs="Times New Roman"/>
                <w:szCs w:val="24"/>
                <w:lang w:eastAsia="zh-CN"/>
              </w:rPr>
              <w:t>具备一定</w:t>
            </w:r>
            <w:r>
              <w:rPr>
                <w:rFonts w:hint="default" w:ascii="Times New Roman" w:hAnsi="Times New Roman" w:cs="Times New Roman"/>
                <w:szCs w:val="24"/>
              </w:rPr>
              <w:t>规模，组织为各部门管理人员及非管理类工作人员明确了职责和权限，各部门管理人员及非管理类工作人员参与了风险和机遇评价和控制措施的确定，在确定相关方的需求和期望时进行了适当的协商，共同参与了质量方针和目标的制定和评审，共同协商如何履行法律法规要求和其他要求，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日常对于质量方面的信息主要利用会议、培训、座谈、电话、网络、收文等方式进行内外部沟通和协商。</w:t>
            </w:r>
          </w:p>
          <w:p>
            <w:pPr>
              <w:spacing w:line="360" w:lineRule="auto"/>
              <w:ind w:firstLine="420" w:firstLineChars="200"/>
              <w:rPr>
                <w:rFonts w:hint="default" w:ascii="Times New Roman" w:hAnsi="Times New Roman" w:cs="Times New Roman"/>
                <w:szCs w:val="24"/>
              </w:rPr>
            </w:pPr>
            <w:r>
              <w:rPr>
                <w:rFonts w:hint="default" w:ascii="Times New Roman" w:hAnsi="Times New Roman" w:cs="Times New Roman"/>
                <w:szCs w:val="24"/>
              </w:rPr>
              <w:t>现场查见会议记录、通知通报、培训记录、文件签收等组织内部培训方式相关记录。</w:t>
            </w:r>
          </w:p>
          <w:p>
            <w:pPr>
              <w:spacing w:line="360" w:lineRule="auto"/>
              <w:ind w:firstLine="420" w:firstLineChars="200"/>
              <w:rPr>
                <w:rFonts w:hint="default" w:ascii="Times New Roman" w:hAnsi="Times New Roman" w:cs="Times New Roman"/>
                <w:szCs w:val="24"/>
              </w:rPr>
            </w:pPr>
            <w:r>
              <w:rPr>
                <w:rFonts w:hint="default" w:ascii="Times New Roman" w:hAnsi="Times New Roman" w:cs="Times New Roman"/>
                <w:szCs w:val="24"/>
              </w:rPr>
              <w:t>行政部是内外部信息交流的中心，通过会议、邮件、培训等形式进行内部交流，向外部接收各种文件传递各种报表，外部沟通联络的部门有环保部门、劳动部门、消防安全部门、质监部门、安监部门及合同方等。</w:t>
            </w:r>
          </w:p>
          <w:p>
            <w:pPr>
              <w:spacing w:line="360" w:lineRule="auto"/>
              <w:ind w:firstLine="420" w:firstLineChars="200"/>
              <w:rPr>
                <w:rFonts w:hint="default" w:ascii="Times New Roman" w:hAnsi="Times New Roman" w:cs="Times New Roman"/>
                <w:szCs w:val="24"/>
              </w:rPr>
            </w:pPr>
            <w:r>
              <w:rPr>
                <w:rFonts w:hint="default" w:ascii="Times New Roman" w:hAnsi="Times New Roman" w:cs="Times New Roman"/>
                <w:szCs w:val="24"/>
              </w:rPr>
              <w:t>经交流：目前与安监部门的信息交流主要是参加会议、接收来文、电话、邮件等，均按要求予以传达和落实，沟通情况较好。</w:t>
            </w:r>
          </w:p>
          <w:p>
            <w:pPr>
              <w:spacing w:line="360" w:lineRule="auto"/>
              <w:ind w:firstLine="420" w:firstLineChars="200"/>
              <w:rPr>
                <w:rFonts w:hint="default" w:ascii="Times New Roman" w:hAnsi="Times New Roman" w:cs="Times New Roman"/>
                <w:szCs w:val="24"/>
              </w:rPr>
            </w:pPr>
            <w:r>
              <w:rPr>
                <w:rFonts w:hint="default" w:ascii="Times New Roman" w:hAnsi="Times New Roman" w:cs="Times New Roman"/>
                <w:szCs w:val="24"/>
              </w:rPr>
              <w:t>现有的沟通渠道和方法能满足要求。审核中未发现因沟通不利不及时而造成（影响）某项工作不能正常运行的情况。</w:t>
            </w:r>
          </w:p>
        </w:tc>
        <w:tc>
          <w:tcPr>
            <w:tcW w:w="1054" w:type="dxa"/>
            <w:vAlign w:val="center"/>
          </w:tcPr>
          <w:p>
            <w:pPr>
              <w:jc w:val="center"/>
              <w:rPr>
                <w:rFonts w:hint="default" w:ascii="Times New Roman" w:hAnsi="Times New Roman" w:cs="Times New Roman"/>
                <w:sz w:val="24"/>
                <w:szCs w:val="24"/>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2019" w:type="dxa"/>
            <w:vAlign w:val="center"/>
          </w:tcPr>
          <w:p>
            <w:pPr>
              <w:rPr>
                <w:rFonts w:hint="default" w:ascii="Times New Roman" w:hAnsi="Times New Roman" w:cs="Times New Roman"/>
                <w:szCs w:val="24"/>
              </w:rPr>
            </w:pPr>
            <w:r>
              <w:rPr>
                <w:rFonts w:hint="default" w:ascii="Times New Roman" w:hAnsi="Times New Roman" w:cs="Times New Roman"/>
                <w:szCs w:val="24"/>
              </w:rPr>
              <w:t>管理评审</w:t>
            </w:r>
          </w:p>
        </w:tc>
        <w:tc>
          <w:tcPr>
            <w:tcW w:w="1292" w:type="dxa"/>
            <w:vAlign w:val="center"/>
          </w:tcPr>
          <w:p>
            <w:pPr>
              <w:rPr>
                <w:rFonts w:hint="default" w:ascii="Times New Roman" w:hAnsi="Times New Roman" w:cs="Times New Roman"/>
                <w:szCs w:val="24"/>
              </w:rPr>
            </w:pPr>
            <w:r>
              <w:rPr>
                <w:rFonts w:hint="default" w:ascii="Times New Roman" w:hAnsi="Times New Roman" w:cs="Times New Roman"/>
                <w:szCs w:val="24"/>
              </w:rPr>
              <w:t xml:space="preserve">Q：9.3  </w:t>
            </w:r>
          </w:p>
        </w:tc>
        <w:tc>
          <w:tcPr>
            <w:tcW w:w="10344" w:type="dxa"/>
            <w:vAlign w:val="center"/>
          </w:tcPr>
          <w:p>
            <w:pPr>
              <w:spacing w:line="360" w:lineRule="auto"/>
              <w:ind w:firstLine="420" w:firstLineChars="200"/>
              <w:rPr>
                <w:rFonts w:hint="default" w:ascii="Times New Roman" w:hAnsi="Times New Roman" w:cs="Times New Roman"/>
                <w:szCs w:val="24"/>
              </w:rPr>
            </w:pPr>
            <w:r>
              <w:rPr>
                <w:rFonts w:hint="default" w:ascii="Times New Roman" w:hAnsi="Times New Roman" w:cs="Times New Roman"/>
                <w:szCs w:val="24"/>
              </w:rPr>
              <w:t>查看《管理评审程序》，基本符合要求。20</w:t>
            </w:r>
            <w:r>
              <w:rPr>
                <w:rFonts w:hint="default" w:ascii="Times New Roman" w:hAnsi="Times New Roman" w:cs="Times New Roman"/>
                <w:szCs w:val="24"/>
                <w:lang w:val="en-US" w:eastAsia="zh-CN"/>
              </w:rPr>
              <w:t>2</w:t>
            </w:r>
            <w:r>
              <w:rPr>
                <w:rFonts w:hint="eastAsia" w:cs="Times New Roman"/>
                <w:szCs w:val="24"/>
                <w:lang w:val="en-US" w:eastAsia="zh-CN"/>
              </w:rPr>
              <w:t>1</w:t>
            </w:r>
            <w:r>
              <w:rPr>
                <w:rFonts w:hint="default" w:ascii="Times New Roman" w:hAnsi="Times New Roman" w:cs="Times New Roman"/>
                <w:szCs w:val="24"/>
              </w:rPr>
              <w:t>.</w:t>
            </w:r>
            <w:r>
              <w:rPr>
                <w:rFonts w:hint="eastAsia" w:cs="Times New Roman"/>
                <w:szCs w:val="24"/>
                <w:lang w:val="en-US" w:eastAsia="zh-CN"/>
              </w:rPr>
              <w:t>5</w:t>
            </w:r>
            <w:r>
              <w:rPr>
                <w:rFonts w:hint="default" w:ascii="Times New Roman" w:hAnsi="Times New Roman" w:cs="Times New Roman"/>
                <w:szCs w:val="24"/>
              </w:rPr>
              <w:t>.</w:t>
            </w:r>
            <w:r>
              <w:rPr>
                <w:rFonts w:hint="eastAsia" w:cs="Times New Roman"/>
                <w:szCs w:val="24"/>
                <w:lang w:val="en-US" w:eastAsia="zh-CN"/>
              </w:rPr>
              <w:t>7</w:t>
            </w:r>
            <w:r>
              <w:rPr>
                <w:rFonts w:hint="default" w:ascii="Times New Roman" w:hAnsi="Times New Roman" w:cs="Times New Roman"/>
                <w:szCs w:val="24"/>
              </w:rPr>
              <w:t>日进行了管理评审。</w:t>
            </w:r>
          </w:p>
          <w:p>
            <w:pPr>
              <w:spacing w:line="360" w:lineRule="auto"/>
              <w:ind w:firstLine="420" w:firstLineChars="200"/>
              <w:rPr>
                <w:rFonts w:hint="default" w:ascii="Times New Roman" w:hAnsi="Times New Roman" w:cs="Times New Roman"/>
                <w:szCs w:val="24"/>
              </w:rPr>
            </w:pPr>
            <w:r>
              <w:rPr>
                <w:rFonts w:hint="default" w:ascii="Times New Roman" w:hAnsi="Times New Roman" w:cs="Times New Roman"/>
                <w:szCs w:val="24"/>
              </w:rPr>
              <w:t>查看“管理评审计划”，由</w:t>
            </w:r>
            <w:r>
              <w:rPr>
                <w:rFonts w:hint="eastAsia" w:cs="Times New Roman"/>
                <w:szCs w:val="24"/>
                <w:lang w:eastAsia="zh-CN"/>
              </w:rPr>
              <w:t>唐进波</w:t>
            </w:r>
            <w:r>
              <w:rPr>
                <w:rFonts w:hint="default" w:ascii="Times New Roman" w:hAnsi="Times New Roman" w:cs="Times New Roman"/>
                <w:szCs w:val="24"/>
              </w:rPr>
              <w:t>签发；内容包括；评审目的、评审时间、参加部门人员、评审输入内容等。</w:t>
            </w:r>
          </w:p>
          <w:p>
            <w:pPr>
              <w:spacing w:line="360" w:lineRule="auto"/>
              <w:ind w:firstLine="420" w:firstLineChars="200"/>
              <w:rPr>
                <w:rFonts w:hint="default" w:ascii="Times New Roman" w:hAnsi="Times New Roman" w:cs="Times New Roman"/>
                <w:szCs w:val="24"/>
              </w:rPr>
            </w:pPr>
            <w:r>
              <w:rPr>
                <w:rFonts w:hint="default" w:ascii="Times New Roman" w:hAnsi="Times New Roman" w:cs="Times New Roman"/>
                <w:szCs w:val="24"/>
              </w:rPr>
              <w:t>管理评审输入：包括组织的战略方向、与质量/环境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w:t>
            </w:r>
            <w:r>
              <w:rPr>
                <w:rFonts w:hint="eastAsia" w:cs="Times New Roman"/>
                <w:szCs w:val="24"/>
                <w:lang w:eastAsia="zh-CN"/>
              </w:rPr>
              <w:t>、</w:t>
            </w:r>
            <w:r>
              <w:rPr>
                <w:rFonts w:hint="eastAsia" w:cs="Times New Roman"/>
                <w:szCs w:val="24"/>
                <w:lang w:val="en-US" w:eastAsia="zh-CN"/>
              </w:rPr>
              <w:t>上次审核不符合的整改情况</w:t>
            </w:r>
            <w:r>
              <w:rPr>
                <w:rFonts w:hint="default" w:ascii="Times New Roman" w:hAnsi="Times New Roman" w:cs="Times New Roman"/>
                <w:szCs w:val="24"/>
              </w:rPr>
              <w:t>等。管理评审的输入基本充分。查到各部门汇报材料，有参加人员签到表。</w:t>
            </w:r>
          </w:p>
          <w:p>
            <w:pPr>
              <w:spacing w:line="360" w:lineRule="auto"/>
              <w:ind w:firstLine="420" w:firstLineChars="200"/>
              <w:rPr>
                <w:rFonts w:hint="default" w:ascii="Times New Roman" w:hAnsi="Times New Roman" w:cs="Times New Roman"/>
                <w:szCs w:val="24"/>
              </w:rPr>
            </w:pPr>
            <w:r>
              <w:rPr>
                <w:rFonts w:hint="default" w:ascii="Times New Roman" w:hAnsi="Times New Roman" w:cs="Times New Roman"/>
                <w:szCs w:val="24"/>
              </w:rPr>
              <w:t>管理评审输出：</w:t>
            </w:r>
          </w:p>
          <w:p>
            <w:pPr>
              <w:spacing w:line="360" w:lineRule="auto"/>
              <w:ind w:firstLine="420" w:firstLineChars="200"/>
              <w:rPr>
                <w:rFonts w:hint="default" w:ascii="Times New Roman" w:hAnsi="Times New Roman" w:cs="Times New Roman"/>
                <w:szCs w:val="24"/>
              </w:rPr>
            </w:pPr>
            <w:r>
              <w:rPr>
                <w:rFonts w:hint="default" w:ascii="Times New Roman" w:hAnsi="Times New Roman" w:cs="Times New Roman"/>
                <w:szCs w:val="24"/>
              </w:rPr>
              <w:t>查看了总经理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评审结论：公司的管理体系是适宜的、充分的和有效的，达到了顾客满意和持续改进的目的。</w:t>
            </w:r>
          </w:p>
          <w:p>
            <w:pPr>
              <w:spacing w:line="360" w:lineRule="auto"/>
              <w:ind w:firstLine="420" w:firstLineChars="200"/>
              <w:rPr>
                <w:rFonts w:hint="default" w:ascii="Times New Roman" w:hAnsi="Times New Roman" w:cs="Times New Roman"/>
                <w:szCs w:val="24"/>
              </w:rPr>
            </w:pPr>
            <w:r>
              <w:rPr>
                <w:rFonts w:hint="default" w:ascii="Times New Roman" w:hAnsi="Times New Roman" w:cs="Times New Roman"/>
                <w:szCs w:val="24"/>
              </w:rPr>
              <w:t>提出了改进措施：</w:t>
            </w:r>
          </w:p>
          <w:p>
            <w:pPr>
              <w:spacing w:line="360" w:lineRule="auto"/>
              <w:ind w:firstLine="420" w:firstLineChars="200"/>
              <w:rPr>
                <w:rFonts w:hint="default" w:ascii="Times New Roman" w:hAnsi="Times New Roman" w:cs="Times New Roman"/>
                <w:szCs w:val="24"/>
              </w:rPr>
            </w:pPr>
            <w:r>
              <w:rPr>
                <w:rFonts w:hint="default" w:ascii="Times New Roman" w:hAnsi="Times New Roman" w:cs="Times New Roman"/>
                <w:szCs w:val="24"/>
              </w:rPr>
              <w:t>1）进一步组织对相关的法律、法规、规程和规范的学习。</w:t>
            </w:r>
          </w:p>
          <w:p>
            <w:pPr>
              <w:spacing w:line="360" w:lineRule="auto"/>
              <w:ind w:firstLine="420" w:firstLineChars="200"/>
              <w:rPr>
                <w:rFonts w:hint="default" w:ascii="Times New Roman" w:hAnsi="Times New Roman" w:eastAsia="宋体" w:cs="Times New Roman"/>
                <w:color w:val="000000"/>
                <w:sz w:val="21"/>
                <w:szCs w:val="21"/>
                <w:lang w:val="en-US" w:eastAsia="zh-CN"/>
              </w:rPr>
            </w:pPr>
            <w:r>
              <w:rPr>
                <w:rFonts w:hint="eastAsia" w:cs="Times New Roman"/>
                <w:szCs w:val="24"/>
                <w:lang w:val="en-US" w:eastAsia="zh-CN"/>
              </w:rPr>
              <w:t>保留了改进措施计划。</w:t>
            </w:r>
          </w:p>
        </w:tc>
        <w:tc>
          <w:tcPr>
            <w:tcW w:w="1054" w:type="dxa"/>
            <w:vAlign w:val="center"/>
          </w:tcPr>
          <w:p>
            <w:pPr>
              <w:jc w:val="center"/>
              <w:rPr>
                <w:rFonts w:hint="default" w:ascii="Times New Roman" w:hAnsi="Times New Roman" w:cs="Times New Roman"/>
                <w:sz w:val="24"/>
                <w:szCs w:val="24"/>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019" w:type="dxa"/>
            <w:vAlign w:val="center"/>
          </w:tcPr>
          <w:p>
            <w:pPr>
              <w:rPr>
                <w:rFonts w:hint="default" w:ascii="Times New Roman" w:hAnsi="Times New Roman" w:cs="Times New Roman"/>
                <w:szCs w:val="24"/>
              </w:rPr>
            </w:pPr>
            <w:r>
              <w:rPr>
                <w:rFonts w:hint="default" w:ascii="Times New Roman" w:hAnsi="Times New Roman" w:cs="Times New Roman"/>
                <w:szCs w:val="24"/>
              </w:rPr>
              <w:t>改进</w:t>
            </w:r>
          </w:p>
        </w:tc>
        <w:tc>
          <w:tcPr>
            <w:tcW w:w="1292" w:type="dxa"/>
            <w:vAlign w:val="center"/>
          </w:tcPr>
          <w:p>
            <w:pPr>
              <w:rPr>
                <w:rFonts w:hint="default" w:ascii="Times New Roman" w:hAnsi="Times New Roman" w:cs="Times New Roman"/>
                <w:szCs w:val="24"/>
              </w:rPr>
            </w:pPr>
            <w:r>
              <w:rPr>
                <w:rFonts w:hint="default" w:ascii="Times New Roman" w:hAnsi="Times New Roman" w:cs="Times New Roman"/>
                <w:szCs w:val="24"/>
              </w:rPr>
              <w:t>Q：10.1、10.3</w:t>
            </w:r>
          </w:p>
        </w:tc>
        <w:tc>
          <w:tcPr>
            <w:tcW w:w="10344" w:type="dxa"/>
            <w:vAlign w:val="center"/>
          </w:tcPr>
          <w:p>
            <w:pPr>
              <w:snapToGrid w:val="0"/>
              <w:spacing w:line="360" w:lineRule="auto"/>
              <w:ind w:firstLine="420" w:firstLineChars="200"/>
              <w:rPr>
                <w:rFonts w:hint="default" w:ascii="Times New Roman" w:hAnsi="Times New Roman" w:cs="Times New Roman"/>
                <w:szCs w:val="24"/>
              </w:rPr>
            </w:pPr>
            <w:r>
              <w:rPr>
                <w:rFonts w:hint="default" w:ascii="Times New Roman" w:hAnsi="Times New Roman" w:cs="Times New Roman"/>
                <w:color w:val="000000"/>
                <w:szCs w:val="24"/>
              </w:rPr>
              <w:t>管理者代表根据总经理意图组织持续改进过程的策划工作，由</w:t>
            </w:r>
            <w:r>
              <w:rPr>
                <w:rFonts w:hint="eastAsia" w:cs="Times New Roman"/>
                <w:color w:val="000000"/>
                <w:szCs w:val="24"/>
                <w:lang w:eastAsia="zh-CN"/>
              </w:rPr>
              <w:t>行政部</w:t>
            </w:r>
            <w:r>
              <w:rPr>
                <w:rFonts w:hint="default" w:ascii="Times New Roman" w:hAnsi="Times New Roman" w:cs="Times New Roman"/>
                <w:color w:val="000000"/>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意识有较大的提高，持续改进了管理体系的有效性。</w:t>
            </w:r>
          </w:p>
          <w:p>
            <w:pPr>
              <w:spacing w:line="360" w:lineRule="auto"/>
              <w:ind w:firstLine="420" w:firstLineChars="200"/>
              <w:rPr>
                <w:rFonts w:hint="default" w:ascii="Times New Roman" w:hAnsi="Times New Roman" w:cs="Times New Roman"/>
                <w:szCs w:val="24"/>
              </w:rPr>
            </w:pPr>
            <w:r>
              <w:rPr>
                <w:rFonts w:hint="default" w:ascii="Times New Roman" w:hAnsi="Times New Roman" w:cs="Times New Roman"/>
                <w:szCs w:val="24"/>
              </w:rPr>
              <w:t>自体系运行以来，全员的质量意识、服务意识有较大的提高，市场经营规模有了较大发展，持续改进了管理体系的有效性。</w:t>
            </w:r>
          </w:p>
        </w:tc>
        <w:tc>
          <w:tcPr>
            <w:tcW w:w="1054" w:type="dxa"/>
            <w:vAlign w:val="center"/>
          </w:tcPr>
          <w:p>
            <w:pPr>
              <w:jc w:val="center"/>
              <w:rPr>
                <w:rFonts w:hint="default" w:ascii="Times New Roman" w:hAnsi="Times New Roman" w:cs="Times New Roman"/>
                <w:sz w:val="24"/>
                <w:szCs w:val="24"/>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019" w:type="dxa"/>
            <w:vAlign w:val="top"/>
          </w:tcPr>
          <w:p>
            <w:pPr>
              <w:rPr>
                <w:rFonts w:hint="eastAsia" w:asciiTheme="majorEastAsia" w:hAnsiTheme="majorEastAsia" w:eastAsiaTheme="majorEastAsia" w:cstheme="majorEastAsia"/>
                <w:kern w:val="2"/>
                <w:sz w:val="21"/>
                <w:szCs w:val="21"/>
                <w:lang w:val="en-US" w:eastAsia="zh-CN" w:bidi="ar-SA"/>
              </w:rPr>
            </w:pPr>
            <w:r>
              <w:rPr>
                <w:rFonts w:hint="eastAsia" w:ascii="宋体" w:hAnsi="宋体" w:cs="Arial"/>
                <w:spacing w:val="-6"/>
                <w:sz w:val="21"/>
                <w:szCs w:val="21"/>
              </w:rPr>
              <w:t>验证资质</w:t>
            </w:r>
          </w:p>
        </w:tc>
        <w:tc>
          <w:tcPr>
            <w:tcW w:w="1292" w:type="dxa"/>
            <w:vAlign w:val="top"/>
          </w:tcPr>
          <w:p>
            <w:pPr>
              <w:rPr>
                <w:rFonts w:hint="eastAsia" w:asciiTheme="majorEastAsia" w:hAnsiTheme="majorEastAsia" w:eastAsiaTheme="majorEastAsia" w:cstheme="majorEastAsia"/>
                <w:kern w:val="2"/>
                <w:sz w:val="21"/>
                <w:szCs w:val="21"/>
                <w:lang w:val="en-US" w:eastAsia="zh-CN" w:bidi="ar-SA"/>
              </w:rPr>
            </w:pPr>
          </w:p>
        </w:tc>
        <w:tc>
          <w:tcPr>
            <w:tcW w:w="10344" w:type="dxa"/>
            <w:vAlign w:val="top"/>
          </w:tcPr>
          <w:p>
            <w:pPr>
              <w:spacing w:line="360" w:lineRule="auto"/>
              <w:ind w:firstLine="420" w:firstLineChars="200"/>
              <w:rPr>
                <w:rFonts w:hint="eastAsia" w:asciiTheme="majorEastAsia" w:hAnsiTheme="majorEastAsia" w:eastAsiaTheme="majorEastAsia" w:cstheme="majorEastAsia"/>
                <w:kern w:val="2"/>
                <w:sz w:val="21"/>
                <w:szCs w:val="21"/>
                <w:lang w:val="en-US" w:eastAsia="zh-CN" w:bidi="ar-SA"/>
              </w:rPr>
            </w:pPr>
            <w:r>
              <w:rPr>
                <w:rFonts w:hint="eastAsia" w:ascii="Times New Roman" w:hAnsi="Times New Roman" w:eastAsia="宋体" w:cs="Times New Roman"/>
                <w:szCs w:val="22"/>
                <w:lang w:val="en-US" w:eastAsia="zh-CN"/>
              </w:rPr>
              <w:t>经查验营业执照</w:t>
            </w:r>
            <w:r>
              <w:rPr>
                <w:rFonts w:hint="eastAsia" w:cs="Times New Roman"/>
                <w:szCs w:val="22"/>
                <w:lang w:val="en-US" w:eastAsia="zh-CN"/>
              </w:rPr>
              <w:t>、兽药生产许可证</w:t>
            </w:r>
            <w:r>
              <w:rPr>
                <w:rFonts w:hint="eastAsia" w:ascii="Times New Roman" w:hAnsi="Times New Roman" w:eastAsia="宋体" w:cs="Times New Roman"/>
                <w:szCs w:val="22"/>
                <w:lang w:val="en-US" w:eastAsia="zh-CN"/>
              </w:rPr>
              <w:t>有效。信用平台查询，无不良信息。</w:t>
            </w:r>
          </w:p>
        </w:tc>
        <w:tc>
          <w:tcPr>
            <w:tcW w:w="1054" w:type="dxa"/>
            <w:vAlign w:val="center"/>
          </w:tcPr>
          <w:p>
            <w:pPr>
              <w:jc w:val="center"/>
              <w:rPr>
                <w:rFonts w:hint="eastAsia" w:asciiTheme="majorEastAsia" w:hAnsiTheme="majorEastAsia" w:eastAsiaTheme="majorEastAsia" w:cstheme="majorEastAsia"/>
                <w:sz w:val="21"/>
                <w:szCs w:val="21"/>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19" w:type="dxa"/>
            <w:vAlign w:val="top"/>
          </w:tcPr>
          <w:p>
            <w:pPr>
              <w:rPr>
                <w:rFonts w:hint="eastAsia" w:asciiTheme="majorEastAsia" w:hAnsiTheme="majorEastAsia" w:eastAsiaTheme="majorEastAsia" w:cstheme="majorEastAsia"/>
                <w:kern w:val="2"/>
                <w:sz w:val="21"/>
                <w:szCs w:val="21"/>
                <w:lang w:val="en-US" w:eastAsia="zh-CN" w:bidi="ar-SA"/>
              </w:rPr>
            </w:pPr>
            <w:r>
              <w:rPr>
                <w:rFonts w:hint="eastAsia" w:ascii="宋体" w:hAnsi="宋体" w:cs="Arial"/>
                <w:spacing w:val="-6"/>
                <w:sz w:val="21"/>
                <w:szCs w:val="21"/>
              </w:rPr>
              <w:t>国家/地方抽查、顾客满意、相关方投诉处理</w:t>
            </w:r>
          </w:p>
        </w:tc>
        <w:tc>
          <w:tcPr>
            <w:tcW w:w="1292" w:type="dxa"/>
            <w:vAlign w:val="top"/>
          </w:tcPr>
          <w:p>
            <w:pPr>
              <w:rPr>
                <w:rFonts w:hint="eastAsia" w:asciiTheme="majorEastAsia" w:hAnsiTheme="majorEastAsia" w:eastAsiaTheme="majorEastAsia" w:cstheme="majorEastAsia"/>
                <w:kern w:val="2"/>
                <w:sz w:val="21"/>
                <w:szCs w:val="21"/>
                <w:lang w:val="en-US" w:eastAsia="zh-CN" w:bidi="ar-SA"/>
              </w:rPr>
            </w:pPr>
          </w:p>
        </w:tc>
        <w:tc>
          <w:tcPr>
            <w:tcW w:w="10344" w:type="dxa"/>
            <w:vAlign w:val="top"/>
          </w:tcPr>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自体系建立以来，未受到上级主管部门有关质量问题的行政处罚。</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未发生相关方的投诉。</w:t>
            </w:r>
          </w:p>
          <w:p>
            <w:pPr>
              <w:spacing w:line="360" w:lineRule="auto"/>
              <w:ind w:firstLine="420" w:firstLineChars="200"/>
              <w:rPr>
                <w:rFonts w:hint="eastAsia" w:asciiTheme="majorEastAsia" w:hAnsiTheme="majorEastAsia" w:eastAsiaTheme="majorEastAsia" w:cstheme="majorEastAsia"/>
                <w:kern w:val="2"/>
                <w:sz w:val="21"/>
                <w:szCs w:val="21"/>
                <w:lang w:val="en-US" w:eastAsia="zh-CN" w:bidi="ar-SA"/>
              </w:rPr>
            </w:pPr>
            <w:r>
              <w:rPr>
                <w:rFonts w:hint="eastAsia" w:ascii="Times New Roman" w:hAnsi="Times New Roman" w:eastAsia="宋体" w:cs="Times New Roman"/>
                <w:szCs w:val="22"/>
                <w:lang w:val="en-US" w:eastAsia="zh-CN"/>
              </w:rPr>
              <w:t>国家/地方抽查情况</w:t>
            </w:r>
            <w:r>
              <w:rPr>
                <w:rFonts w:hint="eastAsia" w:cs="Times New Roman"/>
                <w:szCs w:val="22"/>
                <w:lang w:val="en-US" w:eastAsia="zh-CN"/>
              </w:rPr>
              <w:t>，未发现本公司的质量问题，未进行过通报</w:t>
            </w:r>
            <w:r>
              <w:rPr>
                <w:rFonts w:hint="eastAsia" w:ascii="Times New Roman" w:hAnsi="Times New Roman" w:eastAsia="宋体" w:cs="Times New Roman"/>
                <w:szCs w:val="22"/>
                <w:lang w:val="en-US" w:eastAsia="zh-CN"/>
              </w:rPr>
              <w:t>。</w:t>
            </w:r>
          </w:p>
        </w:tc>
        <w:tc>
          <w:tcPr>
            <w:tcW w:w="1054" w:type="dxa"/>
            <w:vAlign w:val="center"/>
          </w:tcPr>
          <w:p>
            <w:pPr>
              <w:jc w:val="center"/>
              <w:rPr>
                <w:rFonts w:hint="eastAsia" w:asciiTheme="majorEastAsia" w:hAnsiTheme="majorEastAsia" w:eastAsiaTheme="majorEastAsia" w:cstheme="majorEastAsia"/>
                <w:sz w:val="21"/>
                <w:szCs w:val="21"/>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019" w:type="dxa"/>
            <w:vAlign w:val="top"/>
          </w:tcPr>
          <w:p>
            <w:pPr>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证书、标志使用</w:t>
            </w:r>
          </w:p>
        </w:tc>
        <w:tc>
          <w:tcPr>
            <w:tcW w:w="1292" w:type="dxa"/>
            <w:vAlign w:val="top"/>
          </w:tcPr>
          <w:p>
            <w:pPr>
              <w:spacing w:line="360" w:lineRule="auto"/>
              <w:rPr>
                <w:rFonts w:hint="eastAsia" w:asciiTheme="majorEastAsia" w:hAnsiTheme="majorEastAsia" w:eastAsiaTheme="majorEastAsia" w:cstheme="majorEastAsia"/>
                <w:kern w:val="2"/>
                <w:sz w:val="21"/>
                <w:szCs w:val="21"/>
                <w:lang w:val="en-US" w:eastAsia="zh-CN" w:bidi="ar-SA"/>
              </w:rPr>
            </w:pPr>
          </w:p>
        </w:tc>
        <w:tc>
          <w:tcPr>
            <w:tcW w:w="10344" w:type="dxa"/>
            <w:vAlign w:val="top"/>
          </w:tcPr>
          <w:p>
            <w:pPr>
              <w:spacing w:line="360" w:lineRule="auto"/>
              <w:ind w:firstLine="420" w:firstLineChars="20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初次认证。</w:t>
            </w:r>
          </w:p>
        </w:tc>
        <w:tc>
          <w:tcPr>
            <w:tcW w:w="1054" w:type="dxa"/>
            <w:vAlign w:val="center"/>
          </w:tcPr>
          <w:p>
            <w:pPr>
              <w:jc w:val="center"/>
              <w:rPr>
                <w:rFonts w:hint="eastAsia" w:asciiTheme="majorEastAsia" w:hAnsiTheme="majorEastAsia" w:eastAsiaTheme="majorEastAsia" w:cstheme="majorEastAsia"/>
                <w:sz w:val="21"/>
                <w:szCs w:val="21"/>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019" w:type="dxa"/>
            <w:vAlign w:val="top"/>
          </w:tcPr>
          <w:p>
            <w:pPr>
              <w:rPr>
                <w:rFonts w:hint="eastAsia" w:ascii="宋体" w:hAnsi="宋体" w:eastAsia="宋体" w:cs="Arial"/>
                <w:spacing w:val="-6"/>
                <w:kern w:val="2"/>
                <w:sz w:val="21"/>
                <w:szCs w:val="21"/>
                <w:lang w:val="en-US" w:eastAsia="zh-CN" w:bidi="ar-SA"/>
              </w:rPr>
            </w:pPr>
            <w:r>
              <w:rPr>
                <w:rFonts w:hint="eastAsia" w:ascii="宋体" w:hAnsi="宋体"/>
                <w:sz w:val="21"/>
                <w:szCs w:val="21"/>
                <w:lang w:val="en-US" w:eastAsia="zh-CN"/>
              </w:rPr>
              <w:t>一阶段</w:t>
            </w:r>
            <w:r>
              <w:rPr>
                <w:rFonts w:hint="eastAsia" w:ascii="宋体" w:hAnsi="宋体"/>
                <w:sz w:val="21"/>
                <w:szCs w:val="21"/>
              </w:rPr>
              <w:t>审核不符合项的验证</w:t>
            </w:r>
          </w:p>
        </w:tc>
        <w:tc>
          <w:tcPr>
            <w:tcW w:w="1292" w:type="dxa"/>
            <w:vAlign w:val="top"/>
          </w:tcPr>
          <w:p>
            <w:pPr>
              <w:rPr>
                <w:rFonts w:hint="eastAsia" w:ascii="Times New Roman" w:hAnsi="Times New Roman" w:eastAsia="宋体" w:cs="Times New Roman"/>
                <w:kern w:val="2"/>
                <w:sz w:val="21"/>
                <w:lang w:val="en-US" w:eastAsia="zh-CN" w:bidi="ar-SA"/>
              </w:rPr>
            </w:pPr>
          </w:p>
        </w:tc>
        <w:tc>
          <w:tcPr>
            <w:tcW w:w="10344" w:type="dxa"/>
            <w:vAlign w:val="top"/>
          </w:tcPr>
          <w:p>
            <w:pPr>
              <w:spacing w:line="360" w:lineRule="auto"/>
              <w:ind w:firstLine="420" w:firstLineChars="200"/>
              <w:rPr>
                <w:rFonts w:hint="default" w:ascii="Times New Roman" w:hAnsi="Times New Roman" w:eastAsia="宋体" w:cs="Times New Roman"/>
                <w:kern w:val="2"/>
                <w:sz w:val="21"/>
                <w:szCs w:val="22"/>
                <w:lang w:val="en-US" w:eastAsia="zh-CN" w:bidi="ar-SA"/>
              </w:rPr>
            </w:pPr>
            <w:r>
              <w:rPr>
                <w:rFonts w:hint="eastAsia" w:cs="Times New Roman"/>
                <w:szCs w:val="22"/>
                <w:lang w:val="en-US" w:eastAsia="zh-CN"/>
              </w:rPr>
              <w:t>一阶段没有不符合。</w:t>
            </w:r>
          </w:p>
        </w:tc>
        <w:tc>
          <w:tcPr>
            <w:tcW w:w="1054" w:type="dxa"/>
            <w:vAlign w:val="center"/>
          </w:tcPr>
          <w:p>
            <w:pPr>
              <w:jc w:val="center"/>
              <w:rPr>
                <w:rFonts w:hint="eastAsia" w:asciiTheme="majorEastAsia" w:hAnsiTheme="majorEastAsia" w:eastAsiaTheme="majorEastAsia" w:cstheme="majorEastAsia"/>
                <w:sz w:val="21"/>
                <w:szCs w:val="21"/>
              </w:rPr>
            </w:pPr>
            <w:r>
              <w:rPr>
                <w:rFonts w:hint="eastAsia"/>
                <w:lang w:val="en-US" w:eastAsia="zh-CN"/>
              </w:rPr>
              <w:t>Y</w:t>
            </w:r>
          </w:p>
        </w:tc>
      </w:tr>
    </w:tbl>
    <w:p>
      <w:pPr>
        <w:jc w:val="center"/>
        <w:rPr>
          <w:rFonts w:ascii="宋体"/>
        </w:rPr>
      </w:pPr>
    </w:p>
    <w:p>
      <w:pPr>
        <w:pStyle w:val="6"/>
        <w:rPr>
          <w:rFonts w:ascii="宋体" w:hAnsi="宋体"/>
        </w:rPr>
      </w:pPr>
      <w:r>
        <w:rPr>
          <w:rFonts w:hint="eastAsia" w:ascii="宋体" w:hAnsi="宋体"/>
        </w:rPr>
        <w:t>说明：不符合标注</w:t>
      </w:r>
      <w:r>
        <w:rPr>
          <w:rFonts w:ascii="宋体" w:hAnsi="宋体"/>
        </w:rPr>
        <w:t>N</w:t>
      </w:r>
    </w:p>
    <w:sectPr>
      <w:headerReference r:id="rId3" w:type="default"/>
      <w:footerReference r:id="rId4" w:type="default"/>
      <w:pgSz w:w="16838" w:h="11906" w:orient="landscape"/>
      <w:pgMar w:top="1134" w:right="1134" w:bottom="1134" w:left="1134" w:header="851" w:footer="73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b/>
      </w:rPr>
      <w:fldChar w:fldCharType="begin"/>
    </w:r>
    <w:r>
      <w:rPr>
        <w:b/>
      </w:rPr>
      <w:instrText xml:space="preserve">PAGE</w:instrText>
    </w:r>
    <w:r>
      <w:rPr>
        <w:b/>
      </w:rPr>
      <w:fldChar w:fldCharType="separate"/>
    </w:r>
    <w:r>
      <w:rPr>
        <w:b/>
      </w:rPr>
      <w:t>3</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11</w:t>
    </w:r>
    <w:r>
      <w:rPr>
        <w:b/>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Pr>
    </w:pPr>
    <w: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14"/>
        <w:rFonts w:hint="eastAsia"/>
      </w:rPr>
      <w:t>北京国标联合认证有限公司</w:t>
    </w:r>
    <w:r>
      <w:rPr>
        <w:rStyle w:val="14"/>
      </w:rPr>
      <w:tab/>
    </w:r>
    <w:r>
      <w:rPr>
        <w:rStyle w:val="14"/>
      </w:rPr>
      <w:tab/>
    </w:r>
    <w:r>
      <w:rPr>
        <w:rStyle w:val="14"/>
      </w:rPr>
      <w:tab/>
    </w:r>
  </w:p>
  <w:p>
    <w:pPr>
      <w:pStyle w:val="7"/>
      <w:pBdr>
        <w:bottom w:val="none" w:color="auto" w:sz="0" w:space="0"/>
      </w:pBdr>
      <w:spacing w:line="320" w:lineRule="exact"/>
      <w:jc w:val="left"/>
    </w:pPr>
    <w:r>
      <w:pict>
        <v:shape id="文本框 1" o:spid="_x0000_s4098" o:spt="202" type="#_x0000_t202" style="position:absolute;left:0pt;margin-left:524.55pt;margin-top:2.2pt;height:20.2pt;width:202.2pt;z-index:251659264;mso-width-relative:page;mso-height-relative:page;" fillcolor="#FFFFFF" filled="t" stroked="f" coordsize="21600,21600">
          <v:path arrowok="t"/>
          <v:fill on="t" color2="#FFFFFF" focussize="0,0"/>
          <v:stroke on="f"/>
          <v:imagedata o:title=""/>
          <o:lock v:ext="edit" aspectratio="f"/>
          <v:textbox>
            <w:txbxContent>
              <w:p>
                <w:pPr>
                  <w:rPr>
                    <w:rFonts w:ascii="Times New Roman" w:hAnsi="Times New Roman" w:cs="Times New Roman"/>
                    <w:szCs w:val="22"/>
                  </w:rPr>
                </w:pPr>
                <w:r>
                  <w:t>ISC-B-</w:t>
                </w:r>
                <w:r>
                  <w:rPr>
                    <w:rFonts w:hint="eastAsia" w:ascii="Times New Roman" w:hAnsi="Times New Roman" w:cs="Times New Roman"/>
                    <w:szCs w:val="22"/>
                  </w:rPr>
                  <w:t>Ⅱ</w:t>
                </w:r>
                <w:r>
                  <w:rPr>
                    <w:rFonts w:ascii="Times New Roman" w:hAnsi="Times New Roman" w:cs="Times New Roman"/>
                    <w:szCs w:val="22"/>
                  </w:rPr>
                  <w:t>-</w:t>
                </w:r>
                <w:r>
                  <w:rPr>
                    <w:rFonts w:hint="eastAsia" w:ascii="Times New Roman" w:hAnsi="Times New Roman" w:cs="Times New Roman"/>
                    <w:szCs w:val="22"/>
                  </w:rPr>
                  <w:t>1</w:t>
                </w:r>
                <w:r>
                  <w:rPr>
                    <w:rFonts w:hint="eastAsia" w:cs="Times New Roman"/>
                    <w:szCs w:val="22"/>
                    <w:lang w:val="en-US" w:eastAsia="zh-CN"/>
                  </w:rPr>
                  <w:t>4</w:t>
                </w:r>
                <w:r>
                  <w:rPr>
                    <w:rFonts w:hint="eastAsia" w:ascii="Times New Roman" w:hAnsi="Times New Roman" w:cs="Times New Roman"/>
                    <w:szCs w:val="22"/>
                  </w:rPr>
                  <w:t>管理体系审核记录表(03版)</w:t>
                </w:r>
              </w:p>
            </w:txbxContent>
          </v:textbox>
        </v:shape>
      </w:pict>
    </w:r>
    <w:r>
      <w:rPr>
        <w:rStyle w:val="14"/>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9651C5"/>
    <w:multiLevelType w:val="singleLevel"/>
    <w:tmpl w:val="3C9651C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973B4"/>
    <w:rsid w:val="000001A2"/>
    <w:rsid w:val="00004817"/>
    <w:rsid w:val="000214B6"/>
    <w:rsid w:val="0002531E"/>
    <w:rsid w:val="0003373A"/>
    <w:rsid w:val="000412F6"/>
    <w:rsid w:val="0005199E"/>
    <w:rsid w:val="0005697E"/>
    <w:rsid w:val="000579CF"/>
    <w:rsid w:val="00060B56"/>
    <w:rsid w:val="00082216"/>
    <w:rsid w:val="00082398"/>
    <w:rsid w:val="000849D2"/>
    <w:rsid w:val="00087F9D"/>
    <w:rsid w:val="0009309C"/>
    <w:rsid w:val="000A5E44"/>
    <w:rsid w:val="000B1394"/>
    <w:rsid w:val="000B40BD"/>
    <w:rsid w:val="000B51BD"/>
    <w:rsid w:val="000C0F8E"/>
    <w:rsid w:val="000C123B"/>
    <w:rsid w:val="000D5401"/>
    <w:rsid w:val="000D697A"/>
    <w:rsid w:val="000E2B69"/>
    <w:rsid w:val="000E4738"/>
    <w:rsid w:val="000E7EF7"/>
    <w:rsid w:val="000F1FC4"/>
    <w:rsid w:val="000F35F1"/>
    <w:rsid w:val="000F7D53"/>
    <w:rsid w:val="001022F1"/>
    <w:rsid w:val="001037D5"/>
    <w:rsid w:val="00145688"/>
    <w:rsid w:val="0015136F"/>
    <w:rsid w:val="001677C1"/>
    <w:rsid w:val="00181BB0"/>
    <w:rsid w:val="001918ED"/>
    <w:rsid w:val="00192A7F"/>
    <w:rsid w:val="00194DC7"/>
    <w:rsid w:val="001A2D7F"/>
    <w:rsid w:val="001A3DF8"/>
    <w:rsid w:val="001A572D"/>
    <w:rsid w:val="001B1F4D"/>
    <w:rsid w:val="001D3314"/>
    <w:rsid w:val="001D4AD8"/>
    <w:rsid w:val="001D54FF"/>
    <w:rsid w:val="001E1974"/>
    <w:rsid w:val="00202BC2"/>
    <w:rsid w:val="00214113"/>
    <w:rsid w:val="00215081"/>
    <w:rsid w:val="00216DB7"/>
    <w:rsid w:val="00222532"/>
    <w:rsid w:val="00237445"/>
    <w:rsid w:val="002651A6"/>
    <w:rsid w:val="00275A8E"/>
    <w:rsid w:val="002973F0"/>
    <w:rsid w:val="002975C1"/>
    <w:rsid w:val="002A0E6E"/>
    <w:rsid w:val="002A33CC"/>
    <w:rsid w:val="002B1808"/>
    <w:rsid w:val="002C1ACE"/>
    <w:rsid w:val="002C3E0D"/>
    <w:rsid w:val="002D41FB"/>
    <w:rsid w:val="002E0587"/>
    <w:rsid w:val="002E1E1D"/>
    <w:rsid w:val="003061C1"/>
    <w:rsid w:val="00317401"/>
    <w:rsid w:val="00326FC1"/>
    <w:rsid w:val="00337922"/>
    <w:rsid w:val="00340867"/>
    <w:rsid w:val="00342857"/>
    <w:rsid w:val="00347E99"/>
    <w:rsid w:val="003608CB"/>
    <w:rsid w:val="003627B6"/>
    <w:rsid w:val="003708D5"/>
    <w:rsid w:val="0038061A"/>
    <w:rsid w:val="0038063B"/>
    <w:rsid w:val="00380837"/>
    <w:rsid w:val="00381318"/>
    <w:rsid w:val="00381EC5"/>
    <w:rsid w:val="00382EDD"/>
    <w:rsid w:val="003836CA"/>
    <w:rsid w:val="00386A98"/>
    <w:rsid w:val="00390345"/>
    <w:rsid w:val="003A07E3"/>
    <w:rsid w:val="003A1E9C"/>
    <w:rsid w:val="003C0FC6"/>
    <w:rsid w:val="003C58F5"/>
    <w:rsid w:val="003D6BE3"/>
    <w:rsid w:val="003E0E52"/>
    <w:rsid w:val="003F20A5"/>
    <w:rsid w:val="00400B59"/>
    <w:rsid w:val="00400B96"/>
    <w:rsid w:val="00405D5F"/>
    <w:rsid w:val="00410914"/>
    <w:rsid w:val="00415AA3"/>
    <w:rsid w:val="00420C60"/>
    <w:rsid w:val="00424936"/>
    <w:rsid w:val="00430432"/>
    <w:rsid w:val="00433759"/>
    <w:rsid w:val="0043494E"/>
    <w:rsid w:val="004414A5"/>
    <w:rsid w:val="00456697"/>
    <w:rsid w:val="004607C4"/>
    <w:rsid w:val="00465FE1"/>
    <w:rsid w:val="00475491"/>
    <w:rsid w:val="004869FB"/>
    <w:rsid w:val="00491735"/>
    <w:rsid w:val="00494A46"/>
    <w:rsid w:val="004978D0"/>
    <w:rsid w:val="004B217F"/>
    <w:rsid w:val="004B3E7F"/>
    <w:rsid w:val="004C07FE"/>
    <w:rsid w:val="004C6045"/>
    <w:rsid w:val="004D3E4C"/>
    <w:rsid w:val="004F185D"/>
    <w:rsid w:val="004F2F3A"/>
    <w:rsid w:val="005056ED"/>
    <w:rsid w:val="00517E4C"/>
    <w:rsid w:val="00521CF0"/>
    <w:rsid w:val="0053208B"/>
    <w:rsid w:val="00534814"/>
    <w:rsid w:val="00536930"/>
    <w:rsid w:val="00551AE7"/>
    <w:rsid w:val="00556AF4"/>
    <w:rsid w:val="00560A2A"/>
    <w:rsid w:val="00564E53"/>
    <w:rsid w:val="005779A8"/>
    <w:rsid w:val="00583277"/>
    <w:rsid w:val="00592C3E"/>
    <w:rsid w:val="005A000F"/>
    <w:rsid w:val="005B173D"/>
    <w:rsid w:val="005B6888"/>
    <w:rsid w:val="005C7367"/>
    <w:rsid w:val="005D7FAE"/>
    <w:rsid w:val="005F6C65"/>
    <w:rsid w:val="00600F02"/>
    <w:rsid w:val="0060444D"/>
    <w:rsid w:val="006351F3"/>
    <w:rsid w:val="00636710"/>
    <w:rsid w:val="00642776"/>
    <w:rsid w:val="00644FE2"/>
    <w:rsid w:val="00645FB8"/>
    <w:rsid w:val="00651986"/>
    <w:rsid w:val="00653AE3"/>
    <w:rsid w:val="006545E8"/>
    <w:rsid w:val="00664736"/>
    <w:rsid w:val="00665980"/>
    <w:rsid w:val="0067640C"/>
    <w:rsid w:val="006836D9"/>
    <w:rsid w:val="006901B6"/>
    <w:rsid w:val="006910D6"/>
    <w:rsid w:val="00695256"/>
    <w:rsid w:val="00695570"/>
    <w:rsid w:val="00696AF1"/>
    <w:rsid w:val="006A3B31"/>
    <w:rsid w:val="006A68F3"/>
    <w:rsid w:val="006B4127"/>
    <w:rsid w:val="006C24BF"/>
    <w:rsid w:val="006C40B9"/>
    <w:rsid w:val="006D790F"/>
    <w:rsid w:val="006E678B"/>
    <w:rsid w:val="0070367F"/>
    <w:rsid w:val="00712F3C"/>
    <w:rsid w:val="007170AA"/>
    <w:rsid w:val="007177FF"/>
    <w:rsid w:val="00725123"/>
    <w:rsid w:val="00732B66"/>
    <w:rsid w:val="00734753"/>
    <w:rsid w:val="00737C8F"/>
    <w:rsid w:val="007406DE"/>
    <w:rsid w:val="00742F4E"/>
    <w:rsid w:val="00743E79"/>
    <w:rsid w:val="00744BEA"/>
    <w:rsid w:val="00751532"/>
    <w:rsid w:val="00751C37"/>
    <w:rsid w:val="0075769B"/>
    <w:rsid w:val="007757F3"/>
    <w:rsid w:val="007778C8"/>
    <w:rsid w:val="007815DC"/>
    <w:rsid w:val="007A47FB"/>
    <w:rsid w:val="007B106B"/>
    <w:rsid w:val="007B275D"/>
    <w:rsid w:val="007E6AEB"/>
    <w:rsid w:val="007F01EC"/>
    <w:rsid w:val="007F0F58"/>
    <w:rsid w:val="007F7DF2"/>
    <w:rsid w:val="008079FA"/>
    <w:rsid w:val="00810D58"/>
    <w:rsid w:val="00830113"/>
    <w:rsid w:val="00835B31"/>
    <w:rsid w:val="00853BC9"/>
    <w:rsid w:val="0086215B"/>
    <w:rsid w:val="008646DE"/>
    <w:rsid w:val="00864902"/>
    <w:rsid w:val="00864BE7"/>
    <w:rsid w:val="00865200"/>
    <w:rsid w:val="00871695"/>
    <w:rsid w:val="00891C25"/>
    <w:rsid w:val="008931BD"/>
    <w:rsid w:val="008973EE"/>
    <w:rsid w:val="008D089D"/>
    <w:rsid w:val="008E1006"/>
    <w:rsid w:val="008E24A5"/>
    <w:rsid w:val="008F0B04"/>
    <w:rsid w:val="008F0CAC"/>
    <w:rsid w:val="008F7C55"/>
    <w:rsid w:val="00930694"/>
    <w:rsid w:val="00934B2B"/>
    <w:rsid w:val="0093521F"/>
    <w:rsid w:val="00945677"/>
    <w:rsid w:val="00955B84"/>
    <w:rsid w:val="00962F78"/>
    <w:rsid w:val="0096609F"/>
    <w:rsid w:val="009701C1"/>
    <w:rsid w:val="00971600"/>
    <w:rsid w:val="00984342"/>
    <w:rsid w:val="009973B4"/>
    <w:rsid w:val="00997D09"/>
    <w:rsid w:val="009B6E9B"/>
    <w:rsid w:val="009B7EB8"/>
    <w:rsid w:val="009C74D1"/>
    <w:rsid w:val="009D36E4"/>
    <w:rsid w:val="009E30DA"/>
    <w:rsid w:val="009E6193"/>
    <w:rsid w:val="009E7DD1"/>
    <w:rsid w:val="009F7EED"/>
    <w:rsid w:val="00A036B5"/>
    <w:rsid w:val="00A138EC"/>
    <w:rsid w:val="00A22676"/>
    <w:rsid w:val="00A60F0B"/>
    <w:rsid w:val="00A801DE"/>
    <w:rsid w:val="00A90A22"/>
    <w:rsid w:val="00A97734"/>
    <w:rsid w:val="00AA7F40"/>
    <w:rsid w:val="00AB41FC"/>
    <w:rsid w:val="00AB7D2F"/>
    <w:rsid w:val="00AC00EB"/>
    <w:rsid w:val="00AD6F34"/>
    <w:rsid w:val="00AF0AAB"/>
    <w:rsid w:val="00AF156F"/>
    <w:rsid w:val="00AF616B"/>
    <w:rsid w:val="00B02A7F"/>
    <w:rsid w:val="00B0685B"/>
    <w:rsid w:val="00B218ED"/>
    <w:rsid w:val="00B22D22"/>
    <w:rsid w:val="00B23030"/>
    <w:rsid w:val="00B237B9"/>
    <w:rsid w:val="00B23CAA"/>
    <w:rsid w:val="00B410EE"/>
    <w:rsid w:val="00B73151"/>
    <w:rsid w:val="00B8202D"/>
    <w:rsid w:val="00B929FD"/>
    <w:rsid w:val="00B95B99"/>
    <w:rsid w:val="00B95F69"/>
    <w:rsid w:val="00BA76FA"/>
    <w:rsid w:val="00BC2015"/>
    <w:rsid w:val="00BC71B0"/>
    <w:rsid w:val="00BD0CE3"/>
    <w:rsid w:val="00BF28CD"/>
    <w:rsid w:val="00BF597E"/>
    <w:rsid w:val="00C03098"/>
    <w:rsid w:val="00C14685"/>
    <w:rsid w:val="00C31C73"/>
    <w:rsid w:val="00C51A36"/>
    <w:rsid w:val="00C548BE"/>
    <w:rsid w:val="00C55228"/>
    <w:rsid w:val="00C67E19"/>
    <w:rsid w:val="00C67E47"/>
    <w:rsid w:val="00C71E85"/>
    <w:rsid w:val="00C86F9B"/>
    <w:rsid w:val="00C87FEE"/>
    <w:rsid w:val="00C920A9"/>
    <w:rsid w:val="00CA303E"/>
    <w:rsid w:val="00CA659B"/>
    <w:rsid w:val="00CB260B"/>
    <w:rsid w:val="00CB787D"/>
    <w:rsid w:val="00CC7683"/>
    <w:rsid w:val="00CD2FB2"/>
    <w:rsid w:val="00CE2A9E"/>
    <w:rsid w:val="00CE315A"/>
    <w:rsid w:val="00CE7BE1"/>
    <w:rsid w:val="00CF147A"/>
    <w:rsid w:val="00CF1726"/>
    <w:rsid w:val="00CF6C5C"/>
    <w:rsid w:val="00D0162A"/>
    <w:rsid w:val="00D06F59"/>
    <w:rsid w:val="00D3392D"/>
    <w:rsid w:val="00D429D7"/>
    <w:rsid w:val="00D44C1E"/>
    <w:rsid w:val="00D54940"/>
    <w:rsid w:val="00D55E69"/>
    <w:rsid w:val="00D562F6"/>
    <w:rsid w:val="00D8388C"/>
    <w:rsid w:val="00DA0DF0"/>
    <w:rsid w:val="00DA32AB"/>
    <w:rsid w:val="00DA50ED"/>
    <w:rsid w:val="00DB5DEA"/>
    <w:rsid w:val="00DB6A43"/>
    <w:rsid w:val="00DD1C8E"/>
    <w:rsid w:val="00DE146D"/>
    <w:rsid w:val="00DE2D80"/>
    <w:rsid w:val="00DE61E7"/>
    <w:rsid w:val="00DE6FCE"/>
    <w:rsid w:val="00DF76DB"/>
    <w:rsid w:val="00E038E4"/>
    <w:rsid w:val="00E03908"/>
    <w:rsid w:val="00E13D9A"/>
    <w:rsid w:val="00E32D13"/>
    <w:rsid w:val="00E43822"/>
    <w:rsid w:val="00E54035"/>
    <w:rsid w:val="00E574D6"/>
    <w:rsid w:val="00E62996"/>
    <w:rsid w:val="00E63714"/>
    <w:rsid w:val="00E64A51"/>
    <w:rsid w:val="00E676F9"/>
    <w:rsid w:val="00E910C0"/>
    <w:rsid w:val="00E97424"/>
    <w:rsid w:val="00EA55F7"/>
    <w:rsid w:val="00EB0164"/>
    <w:rsid w:val="00EB5DF5"/>
    <w:rsid w:val="00EB65F7"/>
    <w:rsid w:val="00EC42F5"/>
    <w:rsid w:val="00ED0F62"/>
    <w:rsid w:val="00ED2ED6"/>
    <w:rsid w:val="00ED49F1"/>
    <w:rsid w:val="00EF36E7"/>
    <w:rsid w:val="00F05C2F"/>
    <w:rsid w:val="00F06D09"/>
    <w:rsid w:val="00F10FA0"/>
    <w:rsid w:val="00F11201"/>
    <w:rsid w:val="00F1140F"/>
    <w:rsid w:val="00F12002"/>
    <w:rsid w:val="00F14D99"/>
    <w:rsid w:val="00F30382"/>
    <w:rsid w:val="00F32CB9"/>
    <w:rsid w:val="00F33729"/>
    <w:rsid w:val="00F35CD7"/>
    <w:rsid w:val="00F4057A"/>
    <w:rsid w:val="00F4227D"/>
    <w:rsid w:val="00F606E1"/>
    <w:rsid w:val="00F6739D"/>
    <w:rsid w:val="00F80156"/>
    <w:rsid w:val="00F83639"/>
    <w:rsid w:val="00F840C3"/>
    <w:rsid w:val="00F856F5"/>
    <w:rsid w:val="00F956F5"/>
    <w:rsid w:val="00FA0833"/>
    <w:rsid w:val="00FA350D"/>
    <w:rsid w:val="00FB03C3"/>
    <w:rsid w:val="00FB5A65"/>
    <w:rsid w:val="00FD2869"/>
    <w:rsid w:val="00FD5EE5"/>
    <w:rsid w:val="00FD72A6"/>
    <w:rsid w:val="00FE09C9"/>
    <w:rsid w:val="01C413C7"/>
    <w:rsid w:val="03DF7959"/>
    <w:rsid w:val="03F23C14"/>
    <w:rsid w:val="04D11507"/>
    <w:rsid w:val="04D60974"/>
    <w:rsid w:val="083D32EC"/>
    <w:rsid w:val="0B7C3187"/>
    <w:rsid w:val="0BBD6679"/>
    <w:rsid w:val="0C2D3509"/>
    <w:rsid w:val="0D5234AA"/>
    <w:rsid w:val="0EA130C7"/>
    <w:rsid w:val="0F6A174D"/>
    <w:rsid w:val="108219C2"/>
    <w:rsid w:val="10BA1B7B"/>
    <w:rsid w:val="12AA66EA"/>
    <w:rsid w:val="12BC18F4"/>
    <w:rsid w:val="14AC22DD"/>
    <w:rsid w:val="156634A3"/>
    <w:rsid w:val="17A20B00"/>
    <w:rsid w:val="18456B4F"/>
    <w:rsid w:val="186011CF"/>
    <w:rsid w:val="18B537C3"/>
    <w:rsid w:val="1A982CDB"/>
    <w:rsid w:val="1AC34F78"/>
    <w:rsid w:val="1B716657"/>
    <w:rsid w:val="1CB50662"/>
    <w:rsid w:val="1D083265"/>
    <w:rsid w:val="1D096E55"/>
    <w:rsid w:val="1D0E014B"/>
    <w:rsid w:val="1DA12916"/>
    <w:rsid w:val="1DB67E57"/>
    <w:rsid w:val="1EF27F3E"/>
    <w:rsid w:val="1F6D3086"/>
    <w:rsid w:val="226F6A0E"/>
    <w:rsid w:val="23417690"/>
    <w:rsid w:val="247A611F"/>
    <w:rsid w:val="248C74A4"/>
    <w:rsid w:val="252B1943"/>
    <w:rsid w:val="27BC7225"/>
    <w:rsid w:val="28443B5C"/>
    <w:rsid w:val="28DB5832"/>
    <w:rsid w:val="29294017"/>
    <w:rsid w:val="2B4408EF"/>
    <w:rsid w:val="2B8B5BA4"/>
    <w:rsid w:val="2D226D11"/>
    <w:rsid w:val="2F377DD7"/>
    <w:rsid w:val="300F73FF"/>
    <w:rsid w:val="30451DDA"/>
    <w:rsid w:val="31181C09"/>
    <w:rsid w:val="34980AF5"/>
    <w:rsid w:val="349D7266"/>
    <w:rsid w:val="35126519"/>
    <w:rsid w:val="35A70061"/>
    <w:rsid w:val="3BDC2C5A"/>
    <w:rsid w:val="3CDF3F9A"/>
    <w:rsid w:val="3DC86C99"/>
    <w:rsid w:val="3DDE4D85"/>
    <w:rsid w:val="42593D7E"/>
    <w:rsid w:val="427E6A36"/>
    <w:rsid w:val="433608EE"/>
    <w:rsid w:val="43486514"/>
    <w:rsid w:val="43BE4EC3"/>
    <w:rsid w:val="459A3762"/>
    <w:rsid w:val="45D64BDE"/>
    <w:rsid w:val="467D711E"/>
    <w:rsid w:val="477D4036"/>
    <w:rsid w:val="48CD514D"/>
    <w:rsid w:val="4A1E2ED8"/>
    <w:rsid w:val="514F26BD"/>
    <w:rsid w:val="52CD43F7"/>
    <w:rsid w:val="5592239B"/>
    <w:rsid w:val="55B6126F"/>
    <w:rsid w:val="57722FC9"/>
    <w:rsid w:val="578F0767"/>
    <w:rsid w:val="59003FF1"/>
    <w:rsid w:val="5927215D"/>
    <w:rsid w:val="596239D7"/>
    <w:rsid w:val="5A237F7F"/>
    <w:rsid w:val="5C353CFA"/>
    <w:rsid w:val="5DF70942"/>
    <w:rsid w:val="5E1A3DD1"/>
    <w:rsid w:val="5EA12B9A"/>
    <w:rsid w:val="5EB354BE"/>
    <w:rsid w:val="60BB3216"/>
    <w:rsid w:val="63673598"/>
    <w:rsid w:val="64560175"/>
    <w:rsid w:val="656E2751"/>
    <w:rsid w:val="684578DF"/>
    <w:rsid w:val="69FA2C99"/>
    <w:rsid w:val="6ABA37F6"/>
    <w:rsid w:val="6B996425"/>
    <w:rsid w:val="6C285735"/>
    <w:rsid w:val="6C8D48F9"/>
    <w:rsid w:val="6D3D70A9"/>
    <w:rsid w:val="6DF91024"/>
    <w:rsid w:val="6ECD7C3A"/>
    <w:rsid w:val="6FF06DC7"/>
    <w:rsid w:val="70A173FC"/>
    <w:rsid w:val="7110634D"/>
    <w:rsid w:val="71B1082C"/>
    <w:rsid w:val="7274016E"/>
    <w:rsid w:val="72904227"/>
    <w:rsid w:val="738614B3"/>
    <w:rsid w:val="74B32CAF"/>
    <w:rsid w:val="74BE03EB"/>
    <w:rsid w:val="74F01888"/>
    <w:rsid w:val="752C267B"/>
    <w:rsid w:val="75C91EEE"/>
    <w:rsid w:val="770F5700"/>
    <w:rsid w:val="775C3EBD"/>
    <w:rsid w:val="798E0C8A"/>
    <w:rsid w:val="7A81376E"/>
    <w:rsid w:val="7B37781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locked/>
    <w:uiPriority w:val="99"/>
    <w:pPr>
      <w:keepNext/>
      <w:jc w:val="center"/>
      <w:outlineLvl w:val="1"/>
    </w:pPr>
    <w:rPr>
      <w:rFonts w:ascii="宋体" w:hAnsi="宋体"/>
      <w:b/>
      <w:sz w:val="5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jc w:val="center"/>
    </w:pPr>
    <w:rPr>
      <w:rFonts w:ascii="黑体" w:eastAsia="黑体"/>
      <w:b/>
      <w:sz w:val="84"/>
    </w:rPr>
  </w:style>
  <w:style w:type="paragraph" w:styleId="4">
    <w:name w:val="Body Text Indent"/>
    <w:basedOn w:val="1"/>
    <w:qFormat/>
    <w:uiPriority w:val="0"/>
    <w:pPr>
      <w:ind w:firstLine="480"/>
    </w:pPr>
    <w:rPr>
      <w:rFonts w:ascii="宋体"/>
      <w:sz w:val="24"/>
    </w:rPr>
  </w:style>
  <w:style w:type="paragraph" w:styleId="5">
    <w:name w:val="Balloon Text"/>
    <w:basedOn w:val="1"/>
    <w:link w:val="11"/>
    <w:semiHidden/>
    <w:qFormat/>
    <w:uiPriority w:val="99"/>
    <w:rPr>
      <w:sz w:val="18"/>
      <w:szCs w:val="18"/>
    </w:r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customStyle="1" w:styleId="10">
    <w:name w:val="表格文字"/>
    <w:basedOn w:val="1"/>
    <w:qFormat/>
    <w:uiPriority w:val="0"/>
    <w:pPr>
      <w:spacing w:before="25" w:after="25"/>
    </w:pPr>
    <w:rPr>
      <w:bCs/>
      <w:spacing w:val="10"/>
    </w:rPr>
  </w:style>
  <w:style w:type="character" w:customStyle="1" w:styleId="11">
    <w:name w:val="批注框文本 Char"/>
    <w:link w:val="5"/>
    <w:semiHidden/>
    <w:qFormat/>
    <w:locked/>
    <w:uiPriority w:val="99"/>
    <w:rPr>
      <w:rFonts w:ascii="Times New Roman" w:hAnsi="Times New Roman" w:eastAsia="宋体" w:cs="Times New Roman"/>
      <w:sz w:val="18"/>
      <w:szCs w:val="18"/>
    </w:rPr>
  </w:style>
  <w:style w:type="character" w:customStyle="1" w:styleId="12">
    <w:name w:val="页脚 Char"/>
    <w:link w:val="6"/>
    <w:qFormat/>
    <w:locked/>
    <w:uiPriority w:val="99"/>
    <w:rPr>
      <w:rFonts w:ascii="Times New Roman" w:hAnsi="Times New Roman" w:eastAsia="宋体" w:cs="Times New Roman"/>
      <w:sz w:val="18"/>
      <w:szCs w:val="18"/>
    </w:rPr>
  </w:style>
  <w:style w:type="character" w:customStyle="1" w:styleId="13">
    <w:name w:val="页眉 Char"/>
    <w:link w:val="7"/>
    <w:qFormat/>
    <w:locked/>
    <w:uiPriority w:val="99"/>
    <w:rPr>
      <w:rFonts w:ascii="Times New Roman" w:hAnsi="Times New Roman" w:eastAsia="宋体" w:cs="Times New Roman"/>
      <w:sz w:val="18"/>
      <w:szCs w:val="18"/>
    </w:rPr>
  </w:style>
  <w:style w:type="character" w:customStyle="1" w:styleId="14">
    <w:name w:val="Char Char1"/>
    <w:qFormat/>
    <w:locked/>
    <w:uiPriority w:val="99"/>
    <w:rPr>
      <w:rFonts w:ascii="宋体" w:hAnsi="Courier New" w:eastAsia="宋体"/>
      <w:kern w:val="2"/>
      <w:sz w:val="21"/>
      <w:lang w:val="en-US" w:eastAsia="zh-CN"/>
    </w:rPr>
  </w:style>
  <w:style w:type="character" w:customStyle="1" w:styleId="15">
    <w:name w:val="fontstyle01"/>
    <w:qFormat/>
    <w:uiPriority w:val="99"/>
    <w:rPr>
      <w:rFonts w:ascii="宋体" w:hAnsi="宋体" w:eastAsia="宋体" w:cs="Times New Roman"/>
      <w:color w:val="000000"/>
      <w:sz w:val="24"/>
      <w:szCs w:val="24"/>
    </w:rPr>
  </w:style>
  <w:style w:type="character" w:customStyle="1" w:styleId="16">
    <w:name w:val="fontstyle21"/>
    <w:qFormat/>
    <w:uiPriority w:val="99"/>
    <w:rPr>
      <w:rFonts w:ascii="Times New Roman" w:hAnsi="Times New Roman" w:cs="Times New Roman"/>
      <w:color w:val="00000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1128</Words>
  <Characters>6435</Characters>
  <Lines>53</Lines>
  <Paragraphs>15</Paragraphs>
  <TotalTime>16</TotalTime>
  <ScaleCrop>false</ScaleCrop>
  <LinksUpToDate>false</LinksUpToDate>
  <CharactersWithSpaces>7548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2019-05-18T04:55:00Z</dcterms:created>
  <dc:creator>微软用户</dc:creator>
  <cp:lastModifiedBy>lenovo1018</cp:lastModifiedBy>
  <dcterms:modified xsi:type="dcterms:W3CDTF">2021-06-28T07:51:05Z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1BC07DF08CA04780887B14608340C8F6</vt:lpwstr>
  </property>
</Properties>
</file>