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center"/>
        <w:rPr>
          <w:rFonts w:hint="eastAsia" w:ascii="宋体" w:hAnsi="宋体"/>
          <w:sz w:val="18"/>
        </w:rPr>
      </w:pPr>
      <w:r>
        <w:rPr>
          <w:rFonts w:hint="eastAsia"/>
        </w:rPr>
        <w:t xml:space="preserve">                                                   </w:t>
      </w:r>
      <w:bookmarkStart w:id="0" w:name="合同编号"/>
      <w:r>
        <w:rPr>
          <w:szCs w:val="44"/>
        </w:rPr>
        <w:t>0531-2019-Q</w:t>
      </w:r>
      <w:bookmarkEnd w:id="0"/>
    </w:p>
    <w:p>
      <w:pPr>
        <w:snapToGrid w:val="0"/>
        <w:spacing w:afterLines="30"/>
        <w:jc w:val="both"/>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重庆周欣机电有限公司</w:t>
      </w:r>
      <w:bookmarkEnd w:id="1"/>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质量管理体系（QMS）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1"/>
          <w:rFonts w:hint="eastAsia" w:ascii="楷体" w:hAnsi="楷体" w:eastAsia="楷体"/>
          <w:b/>
          <w:sz w:val="36"/>
          <w:szCs w:val="36"/>
        </w:rPr>
        <w:t>www.china-isc.org.cn</w:t>
      </w:r>
      <w:r>
        <w:rPr>
          <w:rStyle w:val="11"/>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2"/>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rPr>
                <w:sz w:val="18"/>
                <w:szCs w:val="18"/>
              </w:rPr>
            </w:pPr>
          </w:p>
        </w:tc>
        <w:tc>
          <w:tcPr>
            <w:tcW w:w="992" w:type="dxa"/>
            <w:vAlign w:val="center"/>
          </w:tcPr>
          <w:p>
            <w:pPr>
              <w:spacing w:line="240" w:lineRule="exact"/>
              <w:rPr>
                <w:sz w:val="18"/>
                <w:szCs w:val="18"/>
              </w:rPr>
            </w:pPr>
          </w:p>
        </w:tc>
        <w:tc>
          <w:tcPr>
            <w:tcW w:w="1216" w:type="dxa"/>
            <w:vAlign w:val="center"/>
          </w:tcPr>
          <w:p>
            <w:pPr>
              <w:spacing w:line="240" w:lineRule="exact"/>
              <w:jc w:val="center"/>
              <w:rPr>
                <w:sz w:val="18"/>
                <w:szCs w:val="18"/>
              </w:rPr>
            </w:pPr>
          </w:p>
        </w:tc>
        <w:tc>
          <w:tcPr>
            <w:tcW w:w="3478" w:type="dxa"/>
            <w:gridSpan w:val="3"/>
          </w:tcPr>
          <w:p>
            <w:pPr>
              <w:spacing w:line="240" w:lineRule="exact"/>
              <w:rPr>
                <w:sz w:val="18"/>
                <w:szCs w:val="18"/>
              </w:rPr>
            </w:pPr>
          </w:p>
        </w:tc>
        <w:tc>
          <w:tcPr>
            <w:tcW w:w="2333" w:type="dxa"/>
            <w:gridSpan w:val="2"/>
            <w:vAlign w:val="center"/>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2"/>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 8.3</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2"/>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适用的法律法规  □其他</w:t>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重庆周欣机电有限公司</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15</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重庆市巴南区鱼洞街道化龙中街83号-3#</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401320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重庆市巴南区鱼洞镇三江街</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401320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程瑞勇</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13983386573</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周先琴</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程瑞勇</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机械配件的生产</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17.10.02</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2019-06-01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综合部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生产</w:t>
            </w:r>
            <w:r>
              <w:rPr>
                <w:rFonts w:hint="eastAsia" w:ascii="宋体" w:hAnsi="宋体"/>
                <w:b/>
                <w:color w:val="000000" w:themeColor="text1"/>
                <w:sz w:val="20"/>
                <w:szCs w:val="20"/>
                <w:lang w:eastAsia="zh-CN"/>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w:t>
            </w:r>
            <w:r>
              <w:rPr>
                <w:rFonts w:hint="eastAsia" w:ascii="宋体" w:hAnsi="宋体"/>
                <w:b/>
                <w:color w:val="000000" w:themeColor="text1"/>
                <w:sz w:val="20"/>
                <w:szCs w:val="20"/>
                <w:lang w:eastAsia="zh-CN"/>
              </w:rPr>
              <w:t>生产</w:t>
            </w:r>
            <w:r>
              <w:rPr>
                <w:rFonts w:hint="eastAsia" w:ascii="宋体" w:hAnsi="宋体"/>
                <w:b/>
                <w:color w:val="000000" w:themeColor="text1"/>
                <w:sz w:val="20"/>
                <w:szCs w:val="20"/>
              </w:rPr>
              <w:t>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234"/>
        <w:gridCol w:w="4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234" w:type="dxa"/>
          </w:tcPr>
          <w:p>
            <w:pPr>
              <w:rPr>
                <w:b/>
                <w:color w:val="000000" w:themeColor="text1"/>
                <w:sz w:val="20"/>
                <w:szCs w:val="20"/>
              </w:rPr>
            </w:pPr>
            <w:r>
              <w:rPr>
                <w:rFonts w:hint="eastAsia"/>
                <w:b/>
                <w:color w:val="000000" w:themeColor="text1"/>
                <w:sz w:val="20"/>
                <w:szCs w:val="20"/>
              </w:rPr>
              <w:t>规格</w:t>
            </w:r>
          </w:p>
        </w:tc>
        <w:tc>
          <w:tcPr>
            <w:tcW w:w="4152"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2130" w:type="dxa"/>
          </w:tcPr>
          <w:p>
            <w:pPr>
              <w:spacing w:line="0" w:lineRule="atLeast"/>
              <w:jc w:val="left"/>
              <w:rPr>
                <w:b/>
                <w:color w:val="FF0000"/>
                <w:sz w:val="20"/>
                <w:szCs w:val="20"/>
              </w:rPr>
            </w:pPr>
            <w:r>
              <w:rPr>
                <w:rFonts w:hint="eastAsia" w:ascii="宋体" w:hAnsi="宋体"/>
                <w:szCs w:val="21"/>
                <w:lang w:eastAsia="zh-CN"/>
              </w:rPr>
              <w:t>机械配件的生产</w:t>
            </w:r>
            <w:r>
              <w:rPr>
                <w:rFonts w:hint="eastAsia" w:ascii="宋体" w:hAnsi="宋体"/>
                <w:szCs w:val="21"/>
              </w:rPr>
              <w:t xml:space="preserve"> </w:t>
            </w:r>
          </w:p>
        </w:tc>
        <w:tc>
          <w:tcPr>
            <w:tcW w:w="2519" w:type="dxa"/>
          </w:tcPr>
          <w:p>
            <w:pPr>
              <w:rPr>
                <w:b/>
                <w:sz w:val="20"/>
                <w:szCs w:val="20"/>
              </w:rPr>
            </w:pPr>
          </w:p>
        </w:tc>
        <w:tc>
          <w:tcPr>
            <w:tcW w:w="1234" w:type="dxa"/>
          </w:tcPr>
          <w:p>
            <w:pPr>
              <w:rPr>
                <w:b/>
                <w:color w:val="000000" w:themeColor="text1"/>
                <w:sz w:val="20"/>
                <w:szCs w:val="20"/>
              </w:rPr>
            </w:pPr>
          </w:p>
        </w:tc>
        <w:tc>
          <w:tcPr>
            <w:tcW w:w="4152" w:type="dxa"/>
          </w:tcPr>
          <w:p>
            <w:pPr>
              <w:rPr>
                <w:rFonts w:hint="eastAsia" w:ascii="宋体" w:hAnsi="宋体"/>
                <w:sz w:val="21"/>
                <w:szCs w:val="21"/>
                <w:lang w:eastAsia="zh-CN"/>
              </w:rPr>
            </w:pPr>
            <w:r>
              <w:rPr>
                <w:rFonts w:hint="eastAsia" w:ascii="宋体" w:hAnsi="宋体"/>
                <w:sz w:val="21"/>
                <w:szCs w:val="21"/>
                <w:lang w:val="en-US" w:eastAsia="zh-CN"/>
              </w:rPr>
              <w:t>GB</w:t>
            </w:r>
            <w:r>
              <w:rPr>
                <w:rFonts w:hint="eastAsia" w:ascii="宋体" w:hAnsi="宋体"/>
                <w:sz w:val="21"/>
                <w:szCs w:val="21"/>
                <w:lang w:eastAsia="zh-CN"/>
              </w:rPr>
              <w:t>/T</w:t>
            </w:r>
            <w:r>
              <w:rPr>
                <w:rFonts w:hint="eastAsia" w:ascii="宋体" w:hAnsi="宋体"/>
                <w:sz w:val="21"/>
                <w:szCs w:val="21"/>
                <w:lang w:val="en-US" w:eastAsia="zh-CN"/>
              </w:rPr>
              <w:t>1804</w:t>
            </w:r>
            <w:r>
              <w:rPr>
                <w:rFonts w:hint="eastAsia" w:ascii="宋体" w:hAnsi="宋体"/>
                <w:sz w:val="21"/>
                <w:szCs w:val="21"/>
                <w:lang w:eastAsia="zh-CN"/>
              </w:rPr>
              <w:t>-</w:t>
            </w:r>
            <w:r>
              <w:rPr>
                <w:rFonts w:hint="eastAsia" w:ascii="宋体" w:hAnsi="宋体"/>
                <w:sz w:val="21"/>
                <w:szCs w:val="21"/>
                <w:lang w:val="en-US" w:eastAsia="zh-CN"/>
              </w:rPr>
              <w:t>2000</w:t>
            </w:r>
            <w:r>
              <w:rPr>
                <w:rFonts w:hint="eastAsia" w:ascii="宋体" w:hAnsi="宋体"/>
                <w:sz w:val="21"/>
                <w:szCs w:val="21"/>
                <w:lang w:eastAsia="zh-CN"/>
              </w:rPr>
              <w:t>一般公差 未注公差的线性和角度尺寸的公差、产品几何技术规范（GPS) 表面结构 轮廓法 表面粗糙度参数及其数值 GB/T 1031-2009、产品几何技术规范（GPS) 公差原则GB/T 4249-2009  、GB</w:t>
            </w:r>
            <w:r>
              <w:rPr>
                <w:rFonts w:hint="eastAsia" w:ascii="宋体" w:hAnsi="宋体"/>
                <w:sz w:val="21"/>
                <w:szCs w:val="21"/>
                <w:lang w:val="en-US" w:eastAsia="zh-CN"/>
              </w:rPr>
              <w:t>/</w:t>
            </w:r>
            <w:r>
              <w:rPr>
                <w:rFonts w:hint="eastAsia" w:ascii="宋体" w:hAnsi="宋体"/>
                <w:sz w:val="21"/>
                <w:szCs w:val="21"/>
                <w:lang w:eastAsia="zh-CN"/>
              </w:rPr>
              <w:t>T 1182-2008产品几何技术规范（GPS） 几何公差形状、方向、位置和跳动公差标注等标准及客户技术、工艺要求。</w:t>
            </w:r>
          </w:p>
          <w:p>
            <w:pPr>
              <w:pStyle w:val="2"/>
              <w:widowControl/>
              <w:shd w:val="clear" w:color="auto" w:fill="FFFFFF"/>
              <w:spacing w:before="0" w:beforeAutospacing="0" w:after="0" w:afterAutospacing="0" w:line="240" w:lineRule="atLeast"/>
              <w:rPr>
                <w:rFonts w:hint="default"/>
                <w:color w:val="000000" w:themeColor="text1"/>
                <w:sz w:val="20"/>
                <w:szCs w:val="20"/>
              </w:rPr>
            </w:pPr>
          </w:p>
        </w:tc>
      </w:tr>
    </w:tbl>
    <w:p>
      <w:pPr>
        <w:ind w:left="-137" w:leftChars="-337" w:hanging="571" w:hangingChars="271"/>
        <w:rPr>
          <w:b/>
          <w:color w:val="000000" w:themeColor="text1"/>
          <w:szCs w:val="21"/>
          <w:u w:val="single"/>
        </w:rPr>
      </w:pPr>
    </w:p>
    <w:p>
      <w:pPr>
        <w:spacing w:line="360" w:lineRule="auto"/>
        <w:ind w:left="-137" w:leftChars="-337" w:hanging="571" w:hangingChars="271"/>
        <w:rPr>
          <w:rFonts w:hint="eastAsia"/>
          <w:b/>
          <w:color w:val="000000" w:themeColor="text1"/>
          <w:szCs w:val="21"/>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 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6</w:t>
      </w:r>
      <w:r>
        <w:rPr>
          <w:rFonts w:hint="eastAsia"/>
          <w:b/>
          <w:color w:val="000000" w:themeColor="text1"/>
          <w:spacing w:val="-10"/>
          <w:szCs w:val="21"/>
        </w:rPr>
        <w:t>月</w:t>
      </w:r>
      <w:bookmarkStart w:id="17" w:name="OLE_LINK1"/>
      <w:r>
        <w:rPr>
          <w:rFonts w:hint="eastAsia"/>
          <w:b/>
          <w:color w:val="000000" w:themeColor="text1"/>
          <w:spacing w:val="-10"/>
          <w:szCs w:val="21"/>
        </w:rPr>
        <w:t>1日</w:t>
      </w:r>
      <w:bookmarkEnd w:id="17"/>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11</w:t>
      </w:r>
      <w:r>
        <w:rPr>
          <w:rFonts w:hint="eastAsia"/>
          <w:b/>
          <w:color w:val="000000" w:themeColor="text1"/>
          <w:spacing w:val="-10"/>
          <w:szCs w:val="21"/>
        </w:rPr>
        <w:t>月</w:t>
      </w:r>
      <w:r>
        <w:rPr>
          <w:rFonts w:hint="eastAsia"/>
          <w:b/>
          <w:color w:val="000000" w:themeColor="text1"/>
          <w:spacing w:val="-10"/>
          <w:szCs w:val="21"/>
          <w:u w:val="single"/>
          <w:lang w:val="en-US" w:eastAsia="zh-CN"/>
        </w:rPr>
        <w:t>11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400" w:lineRule="exact"/>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lang w:eastAsia="zh-CN"/>
              </w:rPr>
              <w:t>质量第一</w:t>
            </w:r>
            <w:r>
              <w:rPr>
                <w:rFonts w:hint="eastAsia"/>
                <w:sz w:val="21"/>
                <w:szCs w:val="21"/>
              </w:rPr>
              <w:t>、</w:t>
            </w:r>
            <w:r>
              <w:rPr>
                <w:rFonts w:hint="eastAsia"/>
                <w:sz w:val="21"/>
                <w:szCs w:val="21"/>
                <w:lang w:eastAsia="zh-CN"/>
              </w:rPr>
              <w:t>用户至上</w:t>
            </w:r>
            <w:r>
              <w:rPr>
                <w:rFonts w:hint="eastAsia"/>
                <w:sz w:val="21"/>
                <w:szCs w:val="21"/>
              </w:rPr>
              <w:t>，</w:t>
            </w:r>
            <w:r>
              <w:rPr>
                <w:rFonts w:hint="eastAsia"/>
                <w:sz w:val="21"/>
                <w:szCs w:val="21"/>
                <w:lang w:eastAsia="zh-CN"/>
              </w:rPr>
              <w:t>持续改进</w:t>
            </w:r>
            <w:r>
              <w:rPr>
                <w:rFonts w:hint="eastAsia"/>
                <w:sz w:val="21"/>
                <w:szCs w:val="21"/>
              </w:rPr>
              <w:t>，</w:t>
            </w:r>
            <w:r>
              <w:rPr>
                <w:rFonts w:hint="eastAsia"/>
                <w:sz w:val="21"/>
                <w:szCs w:val="21"/>
                <w:lang w:eastAsia="zh-CN"/>
              </w:rPr>
              <w:t>服务周到</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420" w:firstLineChars="2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ascii="宋体" w:hAnsi="宋体"/>
                <w:szCs w:val="21"/>
              </w:rPr>
            </w:pPr>
            <w:r>
              <w:rPr>
                <w:rFonts w:hint="eastAsia" w:ascii="宋体" w:hAnsi="宋体"/>
                <w:b/>
                <w:color w:val="000000" w:themeColor="text1"/>
                <w:sz w:val="20"/>
                <w:szCs w:val="20"/>
              </w:rPr>
              <w:t>质量管理体系过程有：</w:t>
            </w:r>
            <w:r>
              <w:rPr>
                <w:rFonts w:hint="eastAsia" w:ascii="宋体" w:hAnsi="宋体"/>
                <w:szCs w:val="21"/>
                <w:lang w:eastAsia="zh-CN"/>
              </w:rPr>
              <w:t>机械配件的生产</w:t>
            </w:r>
            <w:r>
              <w:rPr>
                <w:rFonts w:hint="eastAsia" w:ascii="宋体" w:hAnsi="宋体"/>
                <w:szCs w:val="21"/>
              </w:rPr>
              <w:t xml:space="preserve"> </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r>
              <w:rPr>
                <w:rFonts w:hint="eastAsia" w:ascii="宋体" w:hAnsi="宋体"/>
                <w:color w:val="000000" w:themeColor="text1"/>
                <w:szCs w:val="21"/>
                <w:lang w:eastAsia="zh-CN"/>
              </w:rPr>
              <w:t>机加过程</w:t>
            </w:r>
          </w:p>
          <w:p>
            <w:pPr>
              <w:tabs>
                <w:tab w:val="left" w:pos="540"/>
              </w:tabs>
              <w:spacing w:line="300" w:lineRule="exact"/>
              <w:rPr>
                <w:rFonts w:hint="eastAsia" w:ascii="宋体" w:hAnsi="宋体"/>
                <w:color w:val="000000" w:themeColor="text1"/>
                <w:szCs w:val="21"/>
                <w:lang w:eastAsia="zh-CN"/>
              </w:rPr>
            </w:pPr>
            <w:r>
              <w:rPr>
                <w:rFonts w:hint="eastAsia" w:ascii="宋体" w:hAnsi="宋体"/>
                <w:color w:val="000000" w:themeColor="text1"/>
                <w:szCs w:val="21"/>
                <w:lang w:eastAsia="zh-CN"/>
              </w:rPr>
              <w:t xml:space="preserve">需要确认过程： 无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1032" o:spid="_x0000_s1032" o:spt="32" type="#_x0000_t32" style="position:absolute;left:0pt;margin-left:157.9pt;margin-top:12.75pt;height:0pt;width:261.75pt;z-index:251669504;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31" o:spid="_x0000_s1031" o:spt="32" type="#_x0000_t32" style="position:absolute;left:0pt;margin-left:55.15pt;margin-top:12.75pt;height:0pt;width:42pt;z-index:25166848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Q8.3       ，不适用理由：</w:t>
            </w:r>
            <w:r>
              <w:rPr>
                <w:rFonts w:hint="eastAsia" w:ascii="宋体" w:hAnsi="宋体"/>
                <w:color w:val="000000" w:themeColor="text1"/>
              </w:rPr>
              <w:t>公司产品均按国家、行业相关标准以及客户</w:t>
            </w:r>
            <w:r>
              <w:rPr>
                <w:rFonts w:hint="eastAsia" w:ascii="宋体" w:hAnsi="宋体"/>
                <w:color w:val="000000" w:themeColor="text1"/>
                <w:lang w:eastAsia="zh-CN"/>
              </w:rPr>
              <w:t>技术、工艺</w:t>
            </w:r>
            <w:r>
              <w:rPr>
                <w:rFonts w:hint="eastAsia" w:ascii="宋体" w:hAnsi="宋体"/>
                <w:color w:val="000000" w:themeColor="text1"/>
              </w:rPr>
              <w:t xml:space="preserve">要求进行生产,故标准8.3设计和开发不适用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color w:val="000000"/>
                <w:szCs w:val="21"/>
              </w:rPr>
            </w:pPr>
            <w:r>
              <w:rPr>
                <w:rFonts w:hint="eastAsia"/>
                <w:color w:val="000000"/>
                <w:szCs w:val="21"/>
              </w:rPr>
              <w:t>质量目标：</w:t>
            </w:r>
          </w:p>
          <w:p>
            <w:pPr>
              <w:pStyle w:val="3"/>
              <w:numPr>
                <w:ilvl w:val="0"/>
                <w:numId w:val="3"/>
              </w:numPr>
              <w:tabs>
                <w:tab w:val="left" w:pos="1260"/>
              </w:tabs>
              <w:ind w:left="126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产品一次检验合格率≥98%；</w:t>
            </w:r>
          </w:p>
          <w:p>
            <w:pPr>
              <w:pStyle w:val="3"/>
              <w:numPr>
                <w:ilvl w:val="0"/>
                <w:numId w:val="3"/>
              </w:numPr>
              <w:tabs>
                <w:tab w:val="left" w:pos="1260"/>
              </w:tabs>
              <w:ind w:left="126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产品按期交付率≥98%；</w:t>
            </w:r>
          </w:p>
          <w:p>
            <w:pPr>
              <w:spacing w:line="300" w:lineRule="exact"/>
              <w:ind w:firstLine="840" w:firstLineChars="400"/>
              <w:rPr>
                <w:rFonts w:ascii="宋体" w:hAnsi="宋体"/>
                <w:b/>
                <w:color w:val="000000" w:themeColor="text1"/>
              </w:rPr>
            </w:pPr>
            <w:r>
              <w:rPr>
                <w:rFonts w:hint="eastAsia" w:ascii="宋体" w:hAnsi="宋体" w:cs="Times New Roman"/>
                <w:kern w:val="2"/>
                <w:sz w:val="21"/>
                <w:szCs w:val="21"/>
                <w:lang w:val="en-US" w:eastAsia="zh-CN" w:bidi="ar-SA"/>
              </w:rPr>
              <w:t>C.</w:t>
            </w:r>
            <w:r>
              <w:rPr>
                <w:rFonts w:hint="eastAsia" w:ascii="宋体" w:hAnsi="宋体" w:eastAsia="宋体" w:cs="Times New Roman"/>
                <w:kern w:val="2"/>
                <w:sz w:val="21"/>
                <w:szCs w:val="21"/>
                <w:lang w:val="en-US" w:eastAsia="zh-CN" w:bidi="ar-SA"/>
              </w:rPr>
              <w:t>顾客满意度95分以上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201</w:t>
            </w:r>
            <w:r>
              <w:rPr>
                <w:rFonts w:hint="eastAsia" w:ascii="宋体" w:hAnsi="宋体" w:cs="Arial"/>
                <w:color w:val="000000" w:themeColor="text1"/>
                <w:lang w:val="en-US" w:eastAsia="zh-CN"/>
              </w:rPr>
              <w:t>9</w:t>
            </w:r>
            <w:r>
              <w:rPr>
                <w:rFonts w:hint="eastAsia" w:ascii="宋体" w:hAnsi="宋体" w:cs="宋体"/>
                <w:color w:val="000000" w:themeColor="text1"/>
              </w:rPr>
              <w:t>年</w:t>
            </w:r>
            <w:r>
              <w:rPr>
                <w:rFonts w:hint="eastAsia" w:ascii="宋体" w:hAnsi="宋体" w:cs="宋体"/>
                <w:color w:val="000000" w:themeColor="text1"/>
                <w:lang w:val="en-US" w:eastAsia="zh-CN"/>
              </w:rPr>
              <w:t>6</w:t>
            </w:r>
            <w:r>
              <w:rPr>
                <w:rFonts w:hint="eastAsia" w:ascii="宋体" w:hAnsi="宋体" w:cs="宋体"/>
                <w:color w:val="000000" w:themeColor="text1"/>
              </w:rPr>
              <w:t>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FF0000"/>
                <w:sz w:val="20"/>
                <w:szCs w:val="20"/>
              </w:rPr>
            </w:pPr>
            <w:r>
              <w:rPr>
                <w:rFonts w:hint="eastAsia" w:ascii="宋体" w:hAnsi="宋体"/>
                <w:bCs/>
                <w:iCs/>
                <w:szCs w:val="22"/>
              </w:rPr>
              <w:t>厂房面积</w:t>
            </w:r>
            <w:r>
              <w:rPr>
                <w:rFonts w:hint="eastAsia" w:ascii="宋体" w:hAnsi="宋体"/>
                <w:bCs/>
                <w:iCs/>
                <w:szCs w:val="22"/>
                <w:lang w:val="en-US" w:eastAsia="zh-CN"/>
              </w:rPr>
              <w:t>800</w:t>
            </w:r>
            <w:r>
              <w:rPr>
                <w:rFonts w:hint="eastAsia" w:ascii="宋体" w:hAnsi="宋体"/>
                <w:bCs/>
                <w:iCs/>
                <w:szCs w:val="22"/>
              </w:rPr>
              <w:t>平方米左右，库房与生产场所分区，办公场所面积</w:t>
            </w:r>
            <w:r>
              <w:rPr>
                <w:rFonts w:hint="eastAsia" w:ascii="宋体" w:hAnsi="宋体"/>
                <w:bCs/>
                <w:iCs/>
                <w:szCs w:val="22"/>
                <w:lang w:val="en-US" w:eastAsia="zh-CN"/>
              </w:rPr>
              <w:t>100</w:t>
            </w:r>
            <w:r>
              <w:rPr>
                <w:rFonts w:hint="eastAsia" w:ascii="宋体" w:hAnsi="宋体"/>
                <w:bCs/>
                <w:iCs/>
                <w:szCs w:val="22"/>
              </w:rPr>
              <w:t>平方米左右.主要生产设备包括：</w:t>
            </w:r>
            <w:r>
              <w:rPr>
                <w:rFonts w:hint="eastAsia" w:ascii="宋体" w:hAnsi="宋体"/>
                <w:bCs/>
                <w:iCs/>
                <w:szCs w:val="22"/>
                <w:lang w:eastAsia="zh-CN"/>
              </w:rPr>
              <w:t>铣床、磨床、车床、摇臂钻等</w:t>
            </w:r>
            <w:r>
              <w:rPr>
                <w:rFonts w:hint="eastAsia" w:ascii="宋体" w:hAnsi="宋体"/>
                <w:bCs/>
                <w:iCs/>
                <w:szCs w:val="22"/>
              </w:rPr>
              <w:t>，可以满足生产需要。对设备按月方式进行点检维护保养，并实施。特种设备：</w:t>
            </w:r>
            <w:r>
              <w:rPr>
                <w:rFonts w:hint="eastAsia" w:ascii="宋体" w:hAnsi="宋体"/>
                <w:bCs/>
                <w:iCs/>
                <w:szCs w:val="22"/>
                <w:lang w:eastAsia="zh-CN"/>
              </w:rPr>
              <w:t>无</w:t>
            </w:r>
            <w:r>
              <w:rPr>
                <w:rFonts w:hint="eastAsia" w:ascii="宋体" w:hAnsi="宋体"/>
                <w:bCs/>
                <w:iCs/>
                <w:szCs w:val="22"/>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FF0000"/>
                <w:sz w:val="20"/>
                <w:szCs w:val="20"/>
              </w:rPr>
            </w:pPr>
            <w:r>
              <w:rPr>
                <w:rFonts w:hint="eastAsia" w:ascii="宋体" w:hAnsi="宋体" w:cs="宋体"/>
                <w:szCs w:val="21"/>
              </w:rPr>
              <w:t>生产车间及检验部门均按策划的要求配置了相应的检测设备，均采用委外送检的方式。抽在用检具的检定或校准证书能提供在用检具的有效检定或校准证据。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rFonts w:hint="eastAsia" w:ascii="宋体" w:hAnsi="宋体" w:cs="宋体"/>
                <w:color w:val="000000"/>
                <w:szCs w:val="21"/>
              </w:rPr>
            </w:pPr>
            <w:r>
              <w:rPr>
                <w:rFonts w:hint="eastAsia"/>
                <w:b/>
                <w:color w:val="000000" w:themeColor="text1"/>
                <w:sz w:val="20"/>
                <w:szCs w:val="20"/>
              </w:rPr>
              <w:t>(应说明相关证据)：</w:t>
            </w:r>
            <w:r>
              <w:rPr>
                <w:rFonts w:hint="eastAsia" w:ascii="宋体" w:hAnsi="宋体" w:cs="宋体"/>
                <w:color w:val="000000"/>
                <w:szCs w:val="21"/>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360" w:lineRule="auto"/>
              <w:ind w:firstLine="420" w:firstLineChars="200"/>
              <w:rPr>
                <w:rFonts w:hint="default" w:eastAsia="宋体"/>
                <w:b/>
                <w:color w:val="000000" w:themeColor="text1"/>
                <w:sz w:val="20"/>
                <w:szCs w:val="20"/>
                <w:lang w:val="en-US" w:eastAsia="zh-CN"/>
              </w:rPr>
            </w:pPr>
            <w:r>
              <w:rPr>
                <w:rFonts w:hint="eastAsia" w:ascii="宋体" w:hAnsi="宋体" w:cs="宋体"/>
                <w:color w:val="000000" w:themeColor="text1"/>
                <w:szCs w:val="21"/>
                <w14:textFill>
                  <w14:solidFill>
                    <w14:schemeClr w14:val="tx1"/>
                  </w14:solidFill>
                </w14:textFill>
              </w:rPr>
              <w:t>特种设备：</w:t>
            </w:r>
            <w:r>
              <w:rPr>
                <w:rFonts w:hint="eastAsia" w:ascii="宋体" w:hAnsi="宋体" w:cs="宋体"/>
                <w:color w:val="000000" w:themeColor="text1"/>
                <w:szCs w:val="21"/>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w:t>
            </w:r>
            <w:r>
              <w:rPr>
                <w:rFonts w:hint="eastAsia" w:ascii="宋体" w:hAnsi="宋体" w:cs="宋体"/>
                <w:color w:val="000000" w:themeColor="text1"/>
                <w:szCs w:val="21"/>
              </w:rPr>
              <w:t>和监</w:t>
            </w:r>
            <w:r>
              <w:rPr>
                <w:rFonts w:hint="eastAsia" w:ascii="宋体" w:hAnsi="宋体" w:cs="宋体"/>
                <w:color w:val="000000"/>
                <w:szCs w:val="21"/>
              </w:rPr>
              <w:t>视评价，通过数据的汇总统计、描述性统计等方法对目标进行了测量，总体已达到或超过了规定的目标值。通过2019年</w:t>
            </w:r>
            <w:r>
              <w:rPr>
                <w:rFonts w:hint="eastAsia" w:ascii="宋体" w:hAnsi="宋体" w:cs="宋体"/>
                <w:color w:val="000000"/>
                <w:szCs w:val="21"/>
                <w:lang w:eastAsia="zh-CN"/>
              </w:rPr>
              <w:t>二季度</w:t>
            </w:r>
            <w:r>
              <w:rPr>
                <w:rFonts w:hint="eastAsia" w:ascii="宋体" w:hAnsi="宋体" w:cs="宋体"/>
                <w:color w:val="000000"/>
                <w:szCs w:val="21"/>
              </w:rPr>
              <w:t>-</w:t>
            </w:r>
            <w:r>
              <w:rPr>
                <w:rFonts w:hint="eastAsia" w:ascii="宋体" w:hAnsi="宋体" w:cs="宋体"/>
                <w:color w:val="000000"/>
                <w:szCs w:val="21"/>
                <w:lang w:eastAsia="zh-CN"/>
              </w:rPr>
              <w:t>三季度</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2019年</w:t>
            </w:r>
            <w:r>
              <w:rPr>
                <w:rFonts w:hint="eastAsia" w:ascii="宋体" w:hAnsi="宋体" w:cs="宋体"/>
                <w:color w:val="000000"/>
                <w:szCs w:val="21"/>
                <w:lang w:val="en-US" w:eastAsia="zh-CN"/>
              </w:rPr>
              <w:t>9</w:t>
            </w:r>
            <w:r>
              <w:rPr>
                <w:rFonts w:hint="eastAsia" w:ascii="宋体" w:hAnsi="宋体" w:cs="宋体"/>
                <w:color w:val="000000"/>
                <w:szCs w:val="21"/>
              </w:rPr>
              <w:t>月实施，满意度评价9</w:t>
            </w:r>
            <w:r>
              <w:rPr>
                <w:rFonts w:hint="eastAsia" w:ascii="宋体" w:hAnsi="宋体" w:cs="宋体"/>
                <w:color w:val="000000"/>
                <w:szCs w:val="21"/>
                <w:lang w:val="en-US" w:eastAsia="zh-CN"/>
              </w:rPr>
              <w:t>8分</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600" w:lineRule="exact"/>
              <w:ind w:firstLine="420" w:firstLineChars="200"/>
              <w:jc w:val="both"/>
              <w:rPr>
                <w:b/>
                <w:color w:val="FF0000"/>
                <w:sz w:val="20"/>
                <w:szCs w:val="20"/>
              </w:rPr>
            </w:pPr>
            <w:r>
              <w:rPr>
                <w:rFonts w:hint="eastAsia" w:ascii="宋体" w:hAnsi="宋体" w:cs="宋体"/>
                <w:szCs w:val="21"/>
              </w:rPr>
              <w:t>建立有《内部审核控制程序》，规定了内审频次一年一次，内审时间：</w:t>
            </w:r>
            <w:r>
              <w:rPr>
                <w:rFonts w:hint="eastAsia"/>
                <w:sz w:val="21"/>
                <w:szCs w:val="21"/>
                <w:lang w:eastAsia="zh-CN"/>
              </w:rPr>
              <w:t>2019年</w:t>
            </w:r>
            <w:r>
              <w:rPr>
                <w:rFonts w:hint="eastAsia"/>
                <w:sz w:val="21"/>
                <w:szCs w:val="21"/>
                <w:lang w:val="en-US" w:eastAsia="zh-CN"/>
              </w:rPr>
              <w:t>09月</w:t>
            </w:r>
            <w:r>
              <w:rPr>
                <w:rFonts w:hint="eastAsia"/>
                <w:sz w:val="21"/>
                <w:szCs w:val="21"/>
                <w:lang w:eastAsia="zh-CN"/>
              </w:rPr>
              <w:t>1</w:t>
            </w:r>
            <w:r>
              <w:rPr>
                <w:rFonts w:hint="eastAsia"/>
                <w:sz w:val="21"/>
                <w:szCs w:val="21"/>
                <w:lang w:val="en-US" w:eastAsia="zh-CN"/>
              </w:rPr>
              <w:t>5</w:t>
            </w:r>
            <w:r>
              <w:rPr>
                <w:rFonts w:hint="eastAsia"/>
                <w:sz w:val="21"/>
                <w:szCs w:val="21"/>
                <w:lang w:eastAsia="zh-CN"/>
              </w:rPr>
              <w:t>日</w:t>
            </w:r>
            <w:r>
              <w:rPr>
                <w:rFonts w:hint="eastAsia" w:ascii="宋体" w:hAnsi="宋体" w:cs="宋体"/>
                <w:szCs w:val="21"/>
              </w:rPr>
              <w:t>，拟定了审核实施表，明确了内审范围，内审人员经培训合格上岗，能力满足要求，未出现审核本部门情况，内审不符合项1项，</w:t>
            </w:r>
            <w:r>
              <w:rPr>
                <w:rFonts w:hint="eastAsia"/>
                <w:szCs w:val="21"/>
              </w:rPr>
              <w:t xml:space="preserve"> 涉及</w:t>
            </w:r>
            <w:r>
              <w:rPr>
                <w:rFonts w:hint="eastAsia"/>
                <w:szCs w:val="21"/>
                <w:lang w:eastAsia="zh-CN"/>
              </w:rPr>
              <w:t>综合</w:t>
            </w:r>
            <w:r>
              <w:rPr>
                <w:rFonts w:hint="eastAsia"/>
                <w:szCs w:val="21"/>
              </w:rPr>
              <w:t>部</w:t>
            </w:r>
            <w:r>
              <w:rPr>
                <w:rFonts w:hint="eastAsia"/>
                <w:szCs w:val="21"/>
                <w:lang w:val="en-US" w:eastAsia="zh-CN"/>
              </w:rPr>
              <w:t>9.1.2</w:t>
            </w:r>
            <w:r>
              <w:rPr>
                <w:rFonts w:hint="eastAsia" w:ascii="宋体" w:hAnsi="宋体" w:cs="宋体"/>
                <w:color w:val="000000"/>
                <w:szCs w:val="22"/>
              </w:rPr>
              <w:t>现场查</w:t>
            </w:r>
            <w:r>
              <w:rPr>
                <w:rFonts w:hint="eastAsia" w:ascii="宋体" w:hAnsi="宋体" w:cs="宋体"/>
                <w:color w:val="000000"/>
                <w:szCs w:val="22"/>
                <w:lang w:eastAsia="zh-CN"/>
              </w:rPr>
              <w:t>见</w:t>
            </w:r>
            <w:r>
              <w:rPr>
                <w:rFonts w:hint="eastAsia" w:ascii="宋体" w:hAnsi="宋体" w:cs="宋体"/>
                <w:color w:val="000000"/>
                <w:szCs w:val="22"/>
              </w:rPr>
              <w:t>没能提供对顾客满意度进行分析评价的证据</w:t>
            </w:r>
            <w:r>
              <w:rPr>
                <w:rFonts w:hint="eastAsia"/>
                <w:szCs w:val="21"/>
              </w:rPr>
              <w:t>，针对该不符合项，已及时采取纠正措施后，经内审员验证关闭。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jc w:val="both"/>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lang w:eastAsia="zh-CN"/>
              </w:rPr>
              <w:t>2019年0</w:t>
            </w:r>
            <w:r>
              <w:rPr>
                <w:rFonts w:hint="eastAsia" w:ascii="宋体" w:hAnsi="宋体"/>
                <w:kern w:val="0"/>
                <w:sz w:val="21"/>
                <w:szCs w:val="21"/>
                <w:lang w:val="en-US" w:eastAsia="zh-CN"/>
              </w:rPr>
              <w:t>9</w:t>
            </w:r>
            <w:r>
              <w:rPr>
                <w:rFonts w:hint="eastAsia" w:ascii="宋体" w:hAnsi="宋体"/>
                <w:kern w:val="0"/>
                <w:sz w:val="21"/>
                <w:szCs w:val="21"/>
                <w:lang w:eastAsia="zh-CN"/>
              </w:rPr>
              <w:t>月</w:t>
            </w:r>
            <w:r>
              <w:rPr>
                <w:rFonts w:hint="eastAsia" w:ascii="宋体" w:hAnsi="宋体"/>
                <w:kern w:val="0"/>
                <w:sz w:val="21"/>
                <w:szCs w:val="21"/>
                <w:lang w:val="en-US" w:eastAsia="zh-CN"/>
              </w:rPr>
              <w:t>26</w:t>
            </w:r>
            <w:r>
              <w:rPr>
                <w:rFonts w:hint="eastAsia" w:ascii="宋体" w:hAnsi="宋体"/>
                <w:kern w:val="0"/>
                <w:sz w:val="21"/>
                <w:szCs w:val="21"/>
                <w:lang w:eastAsia="zh-CN"/>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rPr>
            </w:pPr>
            <w:r>
              <w:rPr>
                <w:rFonts w:hint="eastAsia"/>
                <w:b/>
                <w:color w:val="000000" w:themeColor="text1"/>
                <w:spacing w:val="-20"/>
                <w:sz w:val="20"/>
                <w:szCs w:val="20"/>
              </w:rPr>
              <w:t>3</w:t>
            </w:r>
            <w:r>
              <w:rPr>
                <w:rFonts w:hint="eastAsia"/>
                <w:b/>
                <w:color w:val="FF0000"/>
                <w:spacing w:val="-20"/>
                <w:sz w:val="20"/>
                <w:szCs w:val="20"/>
              </w:rPr>
              <w:t xml:space="preserve">. </w:t>
            </w:r>
            <w:r>
              <w:rPr>
                <w:rFonts w:hint="eastAsia"/>
                <w:b/>
                <w:color w:val="000000" w:themeColor="text1"/>
                <w:spacing w:val="-20"/>
                <w:sz w:val="20"/>
                <w:szCs w:val="20"/>
              </w:rPr>
              <w:t>一阶段提出问题的整改情况?</w:t>
            </w:r>
          </w:p>
          <w:p>
            <w:pPr>
              <w:spacing w:line="240" w:lineRule="exact"/>
              <w:rPr>
                <w:rFonts w:hint="default" w:eastAsia="宋体"/>
                <w:b/>
                <w:color w:val="FF0000"/>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1. 本次审核共开具Q不符合项报告 </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项；其中</w:t>
      </w:r>
      <w:r>
        <w:rPr>
          <w:b/>
          <w:color w:val="000000" w:themeColor="text1"/>
          <w14:textFill>
            <w14:solidFill>
              <w14:schemeClr w14:val="tx1"/>
            </w14:solidFill>
          </w14:textFill>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14:textFill>
            <w14:solidFill>
              <w14:schemeClr w14:val="tx1"/>
            </w14:solidFill>
          </w14:textFill>
        </w:rPr>
        <w:t xml:space="preserve">严重不符合 0 项，一般不符合 </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 xml:space="preserve">项，观察项 </w:t>
      </w:r>
      <w:r>
        <w:rPr>
          <w:rFonts w:hint="eastAsia"/>
          <w:b/>
          <w:color w:val="000000" w:themeColor="text1"/>
          <w:lang w:val="en-US" w:eastAsia="zh-CN"/>
          <w14:textFill>
            <w14:solidFill>
              <w14:schemeClr w14:val="tx1"/>
            </w14:solidFill>
          </w14:textFill>
        </w:rPr>
        <w:t>0</w:t>
      </w:r>
      <w:r>
        <w:rPr>
          <w:rFonts w:hint="eastAsia"/>
          <w:b/>
          <w:color w:val="000000" w:themeColor="text1"/>
          <w14:textFill>
            <w14:solidFill>
              <w14:schemeClr w14:val="tx1"/>
            </w14:solidFill>
          </w14:textFill>
        </w:rPr>
        <w:t>项，分布在</w:t>
      </w:r>
      <w:r>
        <w:rPr>
          <w:rFonts w:hint="eastAsia"/>
          <w:b/>
          <w:color w:val="000000" w:themeColor="text1"/>
          <w:lang w:eastAsia="zh-CN"/>
          <w14:textFill>
            <w14:solidFill>
              <w14:schemeClr w14:val="tx1"/>
            </w14:solidFill>
          </w14:textFill>
        </w:rPr>
        <w:t>综合部</w:t>
      </w:r>
      <w:r>
        <w:rPr>
          <w:rFonts w:hint="eastAsia"/>
          <w:b/>
          <w:color w:val="000000" w:themeColor="text1"/>
          <w14:textFill>
            <w14:solidFill>
              <w14:schemeClr w14:val="tx1"/>
            </w14:solidFill>
          </w14:textFill>
        </w:rPr>
        <w:t>部门条款</w:t>
      </w:r>
      <w:r>
        <w:rPr>
          <w:rFonts w:hint="eastAsia"/>
          <w:b/>
          <w:color w:val="000000" w:themeColor="text1"/>
          <w:lang w:val="en-US" w:eastAsia="zh-CN"/>
          <w14:textFill>
            <w14:solidFill>
              <w14:schemeClr w14:val="tx1"/>
            </w14:solidFill>
          </w14:textFill>
        </w:rPr>
        <w:t>8.4.1</w:t>
      </w:r>
      <w:r>
        <w:rPr>
          <w:rFonts w:hint="eastAsia"/>
          <w:b/>
          <w:color w:val="000000" w:themeColor="text1"/>
          <w14:textFill>
            <w14:solidFill>
              <w14:schemeClr w14:val="tx1"/>
            </w14:solidFill>
          </w14:textFill>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0" w:lineRule="atLeast"/>
              <w:jc w:val="left"/>
              <w:rPr>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szCs w:val="21"/>
                <w:lang w:eastAsia="zh-CN"/>
              </w:rPr>
              <w:t>机械配件的生产</w:t>
            </w:r>
            <w:r>
              <w:rPr>
                <w:rFonts w:hint="eastAsia" w:ascii="宋体" w:hAnsi="宋体"/>
                <w:szCs w:val="21"/>
              </w:rPr>
              <w:t xml:space="preserve"> </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4"/>
        </w:numPr>
        <w:spacing w:beforeLines="50"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：无</w:t>
      </w:r>
    </w:p>
    <w:p>
      <w:pPr>
        <w:spacing w:beforeLines="50" w:afterLines="50"/>
        <w:ind w:left="-1535" w:leftChars="-731" w:firstLine="783" w:firstLineChars="300"/>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2019</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11</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11</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rFonts w:hint="eastAsia"/>
          <w:b/>
          <w:bCs/>
          <w:color w:val="000000" w:themeColor="text1"/>
          <w:szCs w:val="21"/>
          <w14:textFill>
            <w14:solidFill>
              <w14:schemeClr w14:val="tx1"/>
            </w14:solidFill>
          </w14:textFill>
        </w:rPr>
      </w:pPr>
      <w:r>
        <w:rPr>
          <w:rFonts w:hint="eastAsia"/>
          <w:b/>
          <w:bCs/>
          <w:color w:val="000000" w:themeColor="text1"/>
          <w:szCs w:val="21"/>
        </w:rPr>
        <w:t>1</w:t>
      </w:r>
      <w:r>
        <w:rPr>
          <w:rFonts w:hint="eastAsia"/>
          <w:b/>
          <w:bCs/>
          <w:color w:val="000000" w:themeColor="text1"/>
          <w:szCs w:val="21"/>
          <w14:textFill>
            <w14:solidFill>
              <w14:schemeClr w14:val="tx1"/>
            </w14:solidFill>
          </w14:textFill>
        </w:rPr>
        <w:t xml:space="preserve">.  审核中发现的☑QMS( </w:t>
      </w:r>
      <w:r>
        <w:rPr>
          <w:rFonts w:hint="eastAsia"/>
          <w:b/>
          <w:bCs/>
          <w:color w:val="000000" w:themeColor="text1"/>
          <w:szCs w:val="21"/>
          <w:lang w:val="en-US" w:eastAsia="zh-CN"/>
          <w14:textFill>
            <w14:solidFill>
              <w14:schemeClr w14:val="tx1"/>
            </w14:solidFill>
          </w14:textFill>
        </w:rPr>
        <w:t>1</w:t>
      </w:r>
      <w:r>
        <w:rPr>
          <w:rFonts w:hint="eastAsia"/>
          <w:b/>
          <w:bCs/>
          <w:color w:val="000000" w:themeColor="text1"/>
          <w:szCs w:val="21"/>
          <w14:textFill>
            <w14:solidFill>
              <w14:schemeClr w14:val="tx1"/>
            </w14:solidFill>
          </w14:textFill>
        </w:rPr>
        <w:t>)个一般不符合，( 0 )个严重不符合，☑验证合格□仍有问题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bookmarkStart w:id="19" w:name="_GoBack"/>
      <w:bookmarkEnd w:id="19"/>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pPr>
    <w:bookmarkStart w:id="18"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18"/>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00000014"/>
    <w:multiLevelType w:val="multilevel"/>
    <w:tmpl w:val="00000014"/>
    <w:lvl w:ilvl="0" w:tentative="0">
      <w:start w:val="1"/>
      <w:numFmt w:val="lowerLetter"/>
      <w:lvlText w:val="%1."/>
      <w:lvlJc w:val="left"/>
      <w:pPr>
        <w:tabs>
          <w:tab w:val="left" w:pos="1212"/>
        </w:tabs>
        <w:ind w:left="1212" w:hanging="360"/>
      </w:pPr>
      <w:rPr>
        <w:rFonts w:hint="eastAsia"/>
      </w:rPr>
    </w:lvl>
    <w:lvl w:ilvl="1" w:tentative="0">
      <w:start w:val="1"/>
      <w:numFmt w:val="lowerLetter"/>
      <w:lvlText w:val="%2)"/>
      <w:lvlJc w:val="left"/>
      <w:pPr>
        <w:tabs>
          <w:tab w:val="left" w:pos="1692"/>
        </w:tabs>
        <w:ind w:left="1692" w:hanging="420"/>
      </w:pPr>
    </w:lvl>
    <w:lvl w:ilvl="2" w:tentative="0">
      <w:start w:val="1"/>
      <w:numFmt w:val="lowerRoman"/>
      <w:lvlText w:val="%3."/>
      <w:lvlJc w:val="right"/>
      <w:pPr>
        <w:tabs>
          <w:tab w:val="left" w:pos="2112"/>
        </w:tabs>
        <w:ind w:left="2112" w:hanging="420"/>
      </w:pPr>
    </w:lvl>
    <w:lvl w:ilvl="3" w:tentative="0">
      <w:start w:val="1"/>
      <w:numFmt w:val="decimal"/>
      <w:lvlText w:val="%4."/>
      <w:lvlJc w:val="left"/>
      <w:pPr>
        <w:tabs>
          <w:tab w:val="left" w:pos="2532"/>
        </w:tabs>
        <w:ind w:left="2532" w:hanging="420"/>
      </w:pPr>
    </w:lvl>
    <w:lvl w:ilvl="4" w:tentative="0">
      <w:start w:val="1"/>
      <w:numFmt w:val="lowerLetter"/>
      <w:lvlText w:val="%5)"/>
      <w:lvlJc w:val="left"/>
      <w:pPr>
        <w:tabs>
          <w:tab w:val="left" w:pos="2952"/>
        </w:tabs>
        <w:ind w:left="2952" w:hanging="420"/>
      </w:pPr>
    </w:lvl>
    <w:lvl w:ilvl="5" w:tentative="0">
      <w:start w:val="1"/>
      <w:numFmt w:val="lowerRoman"/>
      <w:lvlText w:val="%6."/>
      <w:lvlJc w:val="right"/>
      <w:pPr>
        <w:tabs>
          <w:tab w:val="left" w:pos="3372"/>
        </w:tabs>
        <w:ind w:left="3372" w:hanging="420"/>
      </w:pPr>
    </w:lvl>
    <w:lvl w:ilvl="6" w:tentative="0">
      <w:start w:val="1"/>
      <w:numFmt w:val="decimal"/>
      <w:lvlText w:val="%7."/>
      <w:lvlJc w:val="left"/>
      <w:pPr>
        <w:tabs>
          <w:tab w:val="left" w:pos="3792"/>
        </w:tabs>
        <w:ind w:left="3792" w:hanging="420"/>
      </w:pPr>
    </w:lvl>
    <w:lvl w:ilvl="7" w:tentative="0">
      <w:start w:val="1"/>
      <w:numFmt w:val="lowerLetter"/>
      <w:lvlText w:val="%8)"/>
      <w:lvlJc w:val="left"/>
      <w:pPr>
        <w:tabs>
          <w:tab w:val="left" w:pos="4212"/>
        </w:tabs>
        <w:ind w:left="4212" w:hanging="420"/>
      </w:pPr>
    </w:lvl>
    <w:lvl w:ilvl="8" w:tentative="0">
      <w:start w:val="1"/>
      <w:numFmt w:val="lowerRoman"/>
      <w:lvlText w:val="%9."/>
      <w:lvlJc w:val="right"/>
      <w:pPr>
        <w:tabs>
          <w:tab w:val="left" w:pos="4632"/>
        </w:tabs>
        <w:ind w:left="4632" w:hanging="420"/>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C0B81"/>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4E1F91"/>
    <w:rsid w:val="005164BD"/>
    <w:rsid w:val="0054650A"/>
    <w:rsid w:val="00570E60"/>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60193"/>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1795A"/>
    <w:rsid w:val="00B34573"/>
    <w:rsid w:val="00B63D1F"/>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8F7"/>
    <w:rsid w:val="00FF14F7"/>
    <w:rsid w:val="00FF6078"/>
    <w:rsid w:val="0376642A"/>
    <w:rsid w:val="06F27F2D"/>
    <w:rsid w:val="07A84CB2"/>
    <w:rsid w:val="08EB51D6"/>
    <w:rsid w:val="0AE52265"/>
    <w:rsid w:val="0B420E14"/>
    <w:rsid w:val="0CC7527B"/>
    <w:rsid w:val="0EB36807"/>
    <w:rsid w:val="0FB74A65"/>
    <w:rsid w:val="10E854AA"/>
    <w:rsid w:val="1198680D"/>
    <w:rsid w:val="136507B9"/>
    <w:rsid w:val="14DB0987"/>
    <w:rsid w:val="1ABB01D3"/>
    <w:rsid w:val="1ACD62B8"/>
    <w:rsid w:val="1B4F1B57"/>
    <w:rsid w:val="1C440198"/>
    <w:rsid w:val="1C5F0C83"/>
    <w:rsid w:val="1DCB178B"/>
    <w:rsid w:val="1F520E03"/>
    <w:rsid w:val="21611269"/>
    <w:rsid w:val="25243589"/>
    <w:rsid w:val="25CD1223"/>
    <w:rsid w:val="295B014A"/>
    <w:rsid w:val="2D661B74"/>
    <w:rsid w:val="320D718E"/>
    <w:rsid w:val="32C1463B"/>
    <w:rsid w:val="33C25AF9"/>
    <w:rsid w:val="3498286F"/>
    <w:rsid w:val="36EC7F03"/>
    <w:rsid w:val="3C191EA6"/>
    <w:rsid w:val="3C6210A8"/>
    <w:rsid w:val="3D790702"/>
    <w:rsid w:val="401450D1"/>
    <w:rsid w:val="41F02F66"/>
    <w:rsid w:val="42366F95"/>
    <w:rsid w:val="4292115D"/>
    <w:rsid w:val="432329ED"/>
    <w:rsid w:val="455B7DE8"/>
    <w:rsid w:val="469452FC"/>
    <w:rsid w:val="48212822"/>
    <w:rsid w:val="49C82B1C"/>
    <w:rsid w:val="49FA7342"/>
    <w:rsid w:val="4B4A3A22"/>
    <w:rsid w:val="4C494173"/>
    <w:rsid w:val="5A577055"/>
    <w:rsid w:val="5C0F099A"/>
    <w:rsid w:val="5CDD1C2D"/>
    <w:rsid w:val="61A2120B"/>
    <w:rsid w:val="63E122A7"/>
    <w:rsid w:val="648C6F09"/>
    <w:rsid w:val="653F2CB5"/>
    <w:rsid w:val="673B259B"/>
    <w:rsid w:val="6A1418BC"/>
    <w:rsid w:val="6BE37716"/>
    <w:rsid w:val="6C6C530D"/>
    <w:rsid w:val="6F5B59DC"/>
    <w:rsid w:val="73226B9D"/>
    <w:rsid w:val="748B158D"/>
    <w:rsid w:val="780960F1"/>
    <w:rsid w:val="780F0F53"/>
    <w:rsid w:val="782A349F"/>
    <w:rsid w:val="7A245681"/>
    <w:rsid w:val="7A8D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1"/>
        <o:r id="V:Rule2"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pPr>
      <w:jc w:val="both"/>
    </w:pPr>
    <w:rPr>
      <w:rFonts w:ascii="宋体" w:hAnsi="Courier New" w:eastAsia="宋体"/>
      <w:szCs w:val="24"/>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0"/>
    <w:rPr>
      <w:color w:val="0000FF"/>
      <w:u w:val="single"/>
    </w:rPr>
  </w:style>
  <w:style w:type="paragraph" w:styleId="12">
    <w:name w:val="List Paragraph"/>
    <w:basedOn w:val="1"/>
    <w:qFormat/>
    <w:uiPriority w:val="34"/>
    <w:pPr>
      <w:ind w:firstLine="420" w:firstLineChars="200"/>
    </w:pPr>
  </w:style>
  <w:style w:type="character" w:customStyle="1" w:styleId="13">
    <w:name w:val="页眉 Char"/>
    <w:basedOn w:val="10"/>
    <w:link w:val="6"/>
    <w:semiHidden/>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1"/>
    <w:basedOn w:val="10"/>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1347</Words>
  <Characters>7678</Characters>
  <Lines>63</Lines>
  <Paragraphs>18</Paragraphs>
  <TotalTime>3</TotalTime>
  <ScaleCrop>false</ScaleCrop>
  <LinksUpToDate>false</LinksUpToDate>
  <CharactersWithSpaces>9007</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2019-11-11T06:13:11Z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