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pPr>
            <w:r>
              <w:rPr>
                <w:rFonts w:hint="eastAsia"/>
                <w:sz w:val="24"/>
                <w:szCs w:val="24"/>
              </w:rPr>
              <w:t>过程与活动、抽样计划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eastAsia="宋体"/>
                <w:sz w:val="24"/>
                <w:szCs w:val="24"/>
                <w:lang w:val="en-US" w:eastAsia="zh-CN"/>
              </w:rPr>
            </w:pPr>
            <w:r>
              <w:rPr>
                <w:rFonts w:hint="eastAsia"/>
                <w:sz w:val="24"/>
                <w:szCs w:val="24"/>
              </w:rPr>
              <w:t>受审核部门：管理层</w:t>
            </w:r>
            <w:r>
              <w:rPr>
                <w:sz w:val="24"/>
                <w:szCs w:val="24"/>
              </w:rPr>
              <w:t xml:space="preserve">    </w:t>
            </w:r>
            <w:r>
              <w:rPr>
                <w:rFonts w:hint="eastAsia"/>
                <w:sz w:val="24"/>
                <w:szCs w:val="24"/>
              </w:rPr>
              <w:t xml:space="preserve">    陪同人员：</w:t>
            </w:r>
            <w:r>
              <w:rPr>
                <w:sz w:val="24"/>
                <w:szCs w:val="24"/>
              </w:rPr>
              <w:t xml:space="preserve"> </w:t>
            </w:r>
            <w:r>
              <w:rPr>
                <w:rFonts w:hint="eastAsia"/>
                <w:sz w:val="24"/>
                <w:szCs w:val="24"/>
              </w:rPr>
              <w:t>周</w:t>
            </w:r>
            <w:r>
              <w:rPr>
                <w:rFonts w:hint="eastAsia"/>
                <w:sz w:val="24"/>
                <w:szCs w:val="24"/>
                <w:lang w:val="en-US" w:eastAsia="zh-CN"/>
              </w:rPr>
              <w:t>红英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张磊           </w:t>
            </w:r>
            <w:r>
              <w:rPr>
                <w:rFonts w:hint="eastAsia"/>
                <w:sz w:val="24"/>
                <w:szCs w:val="24"/>
              </w:rPr>
              <w:t xml:space="preserve">   审核日期：202</w:t>
            </w:r>
            <w:r>
              <w:rPr>
                <w:rFonts w:hint="eastAsia"/>
                <w:sz w:val="24"/>
                <w:szCs w:val="24"/>
                <w:lang w:val="en-US" w:eastAsia="zh-CN"/>
              </w:rPr>
              <w:t>1</w:t>
            </w:r>
            <w:r>
              <w:rPr>
                <w:rFonts w:hint="eastAsia"/>
                <w:sz w:val="24"/>
                <w:szCs w:val="24"/>
              </w:rPr>
              <w:t>-</w:t>
            </w:r>
            <w:r>
              <w:rPr>
                <w:rFonts w:hint="eastAsia"/>
                <w:sz w:val="24"/>
                <w:szCs w:val="24"/>
                <w:lang w:val="en-US" w:eastAsia="zh-CN"/>
              </w:rPr>
              <w:t>6</w:t>
            </w:r>
            <w:r>
              <w:rPr>
                <w:rFonts w:hint="eastAsia"/>
                <w:sz w:val="24"/>
                <w:szCs w:val="24"/>
              </w:rPr>
              <w:t>-</w:t>
            </w:r>
            <w:r>
              <w:rPr>
                <w:rFonts w:hint="eastAsia"/>
                <w:sz w:val="24"/>
                <w:szCs w:val="24"/>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rFonts w:ascii="宋体" w:hAnsi="宋体" w:cs="宋体"/>
                <w:b/>
                <w:bCs/>
                <w:sz w:val="18"/>
                <w:szCs w:val="18"/>
              </w:rPr>
            </w:pPr>
            <w:r>
              <w:rPr>
                <w:rFonts w:hint="eastAsia"/>
                <w:sz w:val="24"/>
                <w:szCs w:val="24"/>
              </w:rPr>
              <w:t>审核条款：Q</w:t>
            </w:r>
            <w:r>
              <w:rPr>
                <w:szCs w:val="21"/>
              </w:rPr>
              <w:t>：4</w:t>
            </w:r>
            <w:r>
              <w:rPr>
                <w:rFonts w:ascii="宋体" w:hAnsi="宋体" w:cs="宋体"/>
                <w:b/>
                <w:bCs/>
                <w:sz w:val="18"/>
                <w:szCs w:val="18"/>
              </w:rPr>
              <w:t>.1</w:t>
            </w:r>
            <w:r>
              <w:rPr>
                <w:rFonts w:hint="eastAsia" w:ascii="宋体" w:hAnsi="宋体" w:cs="宋体"/>
                <w:b/>
                <w:bCs/>
                <w:sz w:val="18"/>
                <w:szCs w:val="18"/>
              </w:rPr>
              <w:t>/</w:t>
            </w:r>
            <w:r>
              <w:rPr>
                <w:rFonts w:ascii="宋体" w:hAnsi="宋体" w:cs="宋体"/>
                <w:b/>
                <w:bCs/>
                <w:sz w:val="18"/>
                <w:szCs w:val="18"/>
              </w:rPr>
              <w:t>4.2</w:t>
            </w:r>
            <w:r>
              <w:rPr>
                <w:rFonts w:hint="eastAsia" w:ascii="宋体" w:hAnsi="宋体" w:cs="宋体"/>
                <w:b/>
                <w:bCs/>
                <w:sz w:val="18"/>
                <w:szCs w:val="18"/>
              </w:rPr>
              <w:t>/</w:t>
            </w:r>
            <w:r>
              <w:rPr>
                <w:rFonts w:ascii="宋体" w:hAnsi="宋体" w:cs="宋体"/>
                <w:b/>
                <w:bCs/>
                <w:sz w:val="18"/>
                <w:szCs w:val="18"/>
              </w:rPr>
              <w:t>4.3</w:t>
            </w:r>
            <w:r>
              <w:rPr>
                <w:rFonts w:hint="eastAsia" w:ascii="宋体" w:hAnsi="宋体" w:cs="宋体"/>
                <w:b/>
                <w:bCs/>
                <w:sz w:val="18"/>
                <w:szCs w:val="18"/>
              </w:rPr>
              <w:t>/</w:t>
            </w:r>
            <w:r>
              <w:rPr>
                <w:rFonts w:ascii="宋体" w:hAnsi="宋体" w:cs="宋体"/>
                <w:b/>
                <w:bCs/>
                <w:sz w:val="18"/>
                <w:szCs w:val="18"/>
              </w:rPr>
              <w:t>4.4</w:t>
            </w:r>
            <w:r>
              <w:rPr>
                <w:rFonts w:hint="eastAsia" w:ascii="宋体" w:hAnsi="宋体" w:cs="宋体"/>
                <w:b/>
                <w:bCs/>
                <w:sz w:val="18"/>
                <w:szCs w:val="18"/>
              </w:rPr>
              <w:t>/</w:t>
            </w:r>
            <w:r>
              <w:rPr>
                <w:rFonts w:ascii="宋体" w:hAnsi="宋体" w:cs="宋体"/>
                <w:b/>
                <w:bCs/>
                <w:sz w:val="18"/>
                <w:szCs w:val="18"/>
              </w:rPr>
              <w:t>5.1</w:t>
            </w:r>
            <w:r>
              <w:rPr>
                <w:rFonts w:hint="eastAsia" w:ascii="宋体" w:hAnsi="宋体" w:cs="宋体"/>
                <w:b/>
                <w:bCs/>
                <w:sz w:val="18"/>
                <w:szCs w:val="18"/>
              </w:rPr>
              <w:t>/</w:t>
            </w:r>
            <w:r>
              <w:rPr>
                <w:rFonts w:ascii="宋体" w:hAnsi="宋体" w:cs="宋体"/>
                <w:b/>
                <w:bCs/>
                <w:sz w:val="18"/>
                <w:szCs w:val="18"/>
              </w:rPr>
              <w:t>5.2</w:t>
            </w:r>
            <w:r>
              <w:rPr>
                <w:rFonts w:hint="eastAsia" w:ascii="宋体" w:hAnsi="宋体" w:cs="宋体"/>
                <w:b/>
                <w:bCs/>
                <w:sz w:val="18"/>
                <w:szCs w:val="18"/>
              </w:rPr>
              <w:t>/</w:t>
            </w:r>
            <w:r>
              <w:rPr>
                <w:rFonts w:ascii="宋体" w:hAnsi="宋体" w:cs="宋体"/>
                <w:b/>
                <w:bCs/>
                <w:sz w:val="18"/>
                <w:szCs w:val="18"/>
              </w:rPr>
              <w:t>5.3</w:t>
            </w:r>
            <w:r>
              <w:rPr>
                <w:rFonts w:hint="eastAsia" w:ascii="宋体" w:hAnsi="宋体" w:cs="宋体"/>
                <w:b/>
                <w:bCs/>
                <w:sz w:val="18"/>
                <w:szCs w:val="18"/>
              </w:rPr>
              <w:t>/</w:t>
            </w:r>
            <w:r>
              <w:rPr>
                <w:rFonts w:ascii="宋体" w:hAnsi="宋体" w:cs="宋体"/>
                <w:b/>
                <w:bCs/>
                <w:sz w:val="18"/>
                <w:szCs w:val="18"/>
              </w:rPr>
              <w:t>6.1</w:t>
            </w:r>
            <w:r>
              <w:rPr>
                <w:rFonts w:hint="eastAsia" w:ascii="宋体" w:hAnsi="宋体" w:cs="宋体"/>
                <w:b/>
                <w:bCs/>
                <w:sz w:val="18"/>
                <w:szCs w:val="18"/>
              </w:rPr>
              <w:t>/</w:t>
            </w:r>
            <w:r>
              <w:rPr>
                <w:rFonts w:ascii="宋体" w:hAnsi="宋体" w:cs="宋体"/>
                <w:b/>
                <w:bCs/>
                <w:sz w:val="18"/>
                <w:szCs w:val="18"/>
              </w:rPr>
              <w:t>6.2</w:t>
            </w:r>
            <w:r>
              <w:rPr>
                <w:rFonts w:hint="eastAsia" w:ascii="宋体" w:hAnsi="宋体" w:cs="宋体"/>
                <w:b/>
                <w:bCs/>
                <w:sz w:val="18"/>
                <w:szCs w:val="18"/>
              </w:rPr>
              <w:t>/</w:t>
            </w:r>
            <w:r>
              <w:rPr>
                <w:rFonts w:ascii="宋体" w:hAnsi="宋体" w:cs="宋体"/>
                <w:b/>
                <w:bCs/>
                <w:sz w:val="18"/>
                <w:szCs w:val="18"/>
              </w:rPr>
              <w:t>6.3</w:t>
            </w:r>
            <w:r>
              <w:rPr>
                <w:rFonts w:hint="eastAsia" w:ascii="宋体" w:hAnsi="宋体" w:cs="宋体"/>
                <w:b/>
                <w:bCs/>
                <w:sz w:val="18"/>
                <w:szCs w:val="18"/>
              </w:rPr>
              <w:t>/</w:t>
            </w:r>
            <w:r>
              <w:rPr>
                <w:rFonts w:ascii="宋体" w:hAnsi="宋体" w:cs="宋体"/>
                <w:b/>
                <w:bCs/>
                <w:sz w:val="18"/>
                <w:szCs w:val="18"/>
              </w:rPr>
              <w:t>7.</w:t>
            </w:r>
            <w:r>
              <w:rPr>
                <w:rFonts w:hint="eastAsia" w:ascii="宋体" w:hAnsi="宋体" w:cs="宋体"/>
                <w:b/>
                <w:bCs/>
                <w:sz w:val="18"/>
                <w:szCs w:val="18"/>
              </w:rPr>
              <w:t>1</w:t>
            </w:r>
            <w:r>
              <w:rPr>
                <w:rFonts w:ascii="宋体" w:hAnsi="宋体" w:cs="宋体"/>
                <w:b/>
                <w:bCs/>
                <w:sz w:val="18"/>
                <w:szCs w:val="18"/>
              </w:rPr>
              <w:t>.1</w:t>
            </w:r>
            <w:r>
              <w:rPr>
                <w:rFonts w:hint="eastAsia" w:ascii="宋体" w:hAnsi="宋体" w:cs="宋体"/>
                <w:b/>
                <w:bCs/>
                <w:sz w:val="18"/>
                <w:szCs w:val="18"/>
              </w:rPr>
              <w:t>/</w:t>
            </w:r>
            <w:r>
              <w:rPr>
                <w:rFonts w:ascii="宋体" w:hAnsi="宋体" w:cs="宋体"/>
                <w:b/>
                <w:bCs/>
                <w:sz w:val="18"/>
                <w:szCs w:val="18"/>
              </w:rPr>
              <w:t>7.4</w:t>
            </w:r>
            <w:r>
              <w:rPr>
                <w:rFonts w:hint="eastAsia" w:ascii="宋体" w:hAnsi="宋体" w:cs="宋体"/>
                <w:b/>
                <w:bCs/>
                <w:sz w:val="18"/>
                <w:szCs w:val="18"/>
              </w:rPr>
              <w:t>/9.1.1/9.1.3/</w:t>
            </w:r>
            <w:r>
              <w:rPr>
                <w:rFonts w:ascii="宋体" w:hAnsi="宋体" w:cs="宋体"/>
                <w:b/>
                <w:bCs/>
                <w:sz w:val="18"/>
                <w:szCs w:val="18"/>
              </w:rPr>
              <w:t>9.3</w:t>
            </w:r>
            <w:r>
              <w:rPr>
                <w:rFonts w:hint="eastAsia" w:ascii="宋体" w:hAnsi="宋体" w:cs="宋体"/>
                <w:b/>
                <w:bCs/>
                <w:sz w:val="18"/>
                <w:szCs w:val="18"/>
              </w:rPr>
              <w:t>/</w:t>
            </w:r>
            <w:r>
              <w:rPr>
                <w:rFonts w:ascii="宋体" w:hAnsi="宋体" w:cs="宋体"/>
                <w:b/>
                <w:bCs/>
                <w:sz w:val="18"/>
                <w:szCs w:val="18"/>
              </w:rPr>
              <w:t>10.1</w:t>
            </w:r>
            <w:r>
              <w:rPr>
                <w:rFonts w:hint="eastAsia" w:ascii="宋体" w:hAnsi="宋体" w:cs="宋体"/>
                <w:b/>
                <w:bCs/>
                <w:sz w:val="18"/>
                <w:szCs w:val="18"/>
              </w:rPr>
              <w:t>/</w:t>
            </w:r>
            <w:r>
              <w:rPr>
                <w:rFonts w:ascii="宋体" w:hAnsi="宋体" w:cs="宋体"/>
                <w:b/>
                <w:bCs/>
                <w:sz w:val="18"/>
                <w:szCs w:val="18"/>
              </w:rPr>
              <w:t>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Align w:val="top"/>
          </w:tcPr>
          <w:p>
            <w:pPr>
              <w:rPr>
                <w:rFonts w:hint="default" w:eastAsia="宋体"/>
                <w:lang w:val="en-US" w:eastAsia="zh-CN"/>
              </w:rPr>
            </w:pPr>
            <w:r>
              <w:rPr>
                <w:rFonts w:hint="eastAsia"/>
                <w:lang w:val="en-US" w:eastAsia="zh-CN"/>
              </w:rPr>
              <w:t>初审</w:t>
            </w:r>
            <w:r>
              <w:rPr>
                <w:rFonts w:hint="eastAsia"/>
              </w:rPr>
              <w:t>阶段问题验证/投诉或事故/政府主管部门监督抽查情况</w:t>
            </w:r>
          </w:p>
        </w:tc>
        <w:tc>
          <w:tcPr>
            <w:tcW w:w="960" w:type="dxa"/>
            <w:vAlign w:val="top"/>
          </w:tcPr>
          <w:p/>
        </w:tc>
        <w:tc>
          <w:tcPr>
            <w:tcW w:w="745" w:type="dxa"/>
            <w:vAlign w:val="top"/>
          </w:tcPr>
          <w:p>
            <w:pPr>
              <w:rPr>
                <w:rFonts w:hint="eastAsia"/>
              </w:rPr>
            </w:pPr>
          </w:p>
        </w:tc>
        <w:tc>
          <w:tcPr>
            <w:tcW w:w="9259" w:type="dxa"/>
            <w:vAlign w:val="center"/>
          </w:tcPr>
          <w:p>
            <w:pPr>
              <w:rPr>
                <w:rFonts w:hint="eastAsia"/>
              </w:rPr>
            </w:pPr>
            <w:r>
              <w:rPr>
                <w:rFonts w:hint="eastAsia"/>
                <w:lang w:val="en-US" w:eastAsia="zh-CN"/>
              </w:rPr>
              <w:t>经现场验证，初审</w:t>
            </w:r>
            <w:r>
              <w:rPr>
                <w:rFonts w:hint="eastAsia"/>
              </w:rPr>
              <w:t>阶段问</w:t>
            </w:r>
            <w:bookmarkStart w:id="1" w:name="_GoBack"/>
            <w:bookmarkEnd w:id="1"/>
            <w:r>
              <w:rPr>
                <w:rFonts w:hint="eastAsia"/>
              </w:rPr>
              <w:t>题已整改，体系运行期间无投诉或事故发生，无政府部门抽查情况</w:t>
            </w:r>
          </w:p>
        </w:tc>
        <w:tc>
          <w:tcPr>
            <w:tcW w:w="1585" w:type="dxa"/>
          </w:tcPr>
          <w:p>
            <w:pP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理解组织及其环境</w:t>
            </w:r>
          </w:p>
        </w:tc>
        <w:tc>
          <w:tcPr>
            <w:tcW w:w="960" w:type="dxa"/>
            <w:vMerge w:val="restart"/>
          </w:tcPr>
          <w:p>
            <w:r>
              <w:t xml:space="preserve">Q </w:t>
            </w:r>
            <w:r>
              <w:rPr>
                <w:rFonts w:hint="eastAsia"/>
              </w:rPr>
              <w:t xml:space="preserve">4.1 </w:t>
            </w:r>
          </w:p>
        </w:tc>
        <w:tc>
          <w:tcPr>
            <w:tcW w:w="745" w:type="dxa"/>
          </w:tcPr>
          <w:p>
            <w:r>
              <w:rPr>
                <w:rFonts w:hint="eastAsia"/>
              </w:rPr>
              <w:t>文件名称</w:t>
            </w:r>
          </w:p>
        </w:tc>
        <w:tc>
          <w:tcPr>
            <w:tcW w:w="9259" w:type="dxa"/>
          </w:tcPr>
          <w:p>
            <w:pPr>
              <w:jc w:val="center"/>
            </w:pPr>
            <w:r>
              <w:rPr>
                <w:rFonts w:hint="eastAsia"/>
              </w:rPr>
              <w:t>如：</w:t>
            </w:r>
            <w:r>
              <w:rPr>
                <w:rFonts w:ascii="Segoe UI Emoji" w:hAnsi="Segoe UI Emoji" w:cs="Segoe UI Emoji"/>
              </w:rPr>
              <w:t>☑</w:t>
            </w:r>
            <w:r>
              <w:rPr>
                <w:rFonts w:hint="eastAsia" w:ascii="宋体" w:hAnsi="宋体" w:cs="宋体"/>
              </w:rPr>
              <w:t>《</w:t>
            </w:r>
            <w:r>
              <w:rPr>
                <w:rFonts w:hint="eastAsia"/>
              </w:rPr>
              <w:t>风险和机遇控制程序》、</w:t>
            </w:r>
            <w:r>
              <w:rPr>
                <w:rFonts w:ascii="Segoe UI Emoji" w:hAnsi="Segoe UI Emoji" w:cs="Segoe UI Emoji"/>
              </w:rPr>
              <w:t>☑</w:t>
            </w:r>
            <w:r>
              <w:rPr>
                <w:rFonts w:hint="eastAsia" w:ascii="宋体" w:hAnsi="宋体" w:cs="宋体"/>
              </w:rPr>
              <w:t>管理手册第</w:t>
            </w:r>
            <w:r>
              <w:rPr>
                <w:rFonts w:hint="eastAsia"/>
              </w:rPr>
              <w:t>4.1章、</w:t>
            </w:r>
            <w:r>
              <w:rPr>
                <w:rFonts w:ascii="Segoe UI Emoji" w:hAnsi="Segoe UI Emoji" w:cs="Segoe UI Emoji"/>
              </w:rPr>
              <w:t>☑</w:t>
            </w:r>
            <w:r>
              <w:rPr>
                <w:rFonts w:hint="eastAsia" w:ascii="宋体" w:hAnsi="宋体" w:cs="宋体"/>
              </w:rPr>
              <w:t>组织内外部环境因素识别和评价表</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szCs w:val="21"/>
              </w:rPr>
              <w:t xml:space="preserve"> 与最高管理者沟通：</w:t>
            </w:r>
          </w:p>
          <w:p>
            <w:pPr>
              <w:rPr>
                <w:szCs w:val="21"/>
              </w:rPr>
            </w:pPr>
            <w:r>
              <w:rPr>
                <w:rFonts w:hint="eastAsia"/>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r>
                    <w:rPr>
                      <w:rFonts w:hint="eastAsia"/>
                    </w:rPr>
                    <w:t>外部环境</w:t>
                  </w:r>
                </w:p>
              </w:tc>
              <w:tc>
                <w:tcPr>
                  <w:tcW w:w="7147" w:type="dxa"/>
                </w:tcPr>
                <w:p>
                  <w:r>
                    <w:rPr>
                      <w:rFonts w:hint="eastAsia"/>
                      <w:lang w:eastAsia="zh-CN"/>
                    </w:rPr>
                    <w:sym w:font="Wingdings 2" w:char="0052"/>
                  </w:r>
                  <w:r>
                    <w:rPr>
                      <w:rFonts w:hint="eastAsia"/>
                    </w:rPr>
                    <w:t>法律法规 ☑技术与竞争 ☑市场</w:t>
                  </w:r>
                  <w:r>
                    <w:rPr>
                      <w:rFonts w:hint="eastAsia" w:ascii="宋体" w:hAnsi="宋体" w:cs="宋体"/>
                      <w:kern w:val="0"/>
                      <w:sz w:val="20"/>
                    </w:rPr>
                    <w:t>因素</w:t>
                  </w:r>
                  <w:r>
                    <w:rPr>
                      <w:rFonts w:hint="eastAsia"/>
                    </w:rPr>
                    <w:t xml:space="preserve"> </w:t>
                  </w:r>
                  <w:r>
                    <w:rPr>
                      <w:rFonts w:hint="eastAsia"/>
                    </w:rPr>
                    <w:sym w:font="Wingdings" w:char="00A8"/>
                  </w:r>
                  <w:r>
                    <w:rPr>
                      <w:rFonts w:hint="eastAsia" w:ascii="宋体" w:hAnsi="宋体" w:cs="宋体"/>
                      <w:kern w:val="0"/>
                      <w:sz w:val="20"/>
                    </w:rPr>
                    <w:t>行业竞争对手</w:t>
                  </w:r>
                  <w:r>
                    <w:rPr>
                      <w:rFonts w:hint="eastAsia"/>
                    </w:rPr>
                    <w:t xml:space="preserve">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r>
                    <w:rPr>
                      <w:rFonts w:hint="eastAsia"/>
                    </w:rPr>
                    <w:t>列举主要的内容</w:t>
                  </w:r>
                </w:p>
              </w:tc>
              <w:tc>
                <w:tcPr>
                  <w:tcW w:w="7147" w:type="dxa"/>
                </w:tcPr>
                <w:p>
                  <w:r>
                    <w:rPr>
                      <w:rFonts w:hint="eastAsia" w:ascii="宋体" w:hAnsi="宋体" w:cs="宋体"/>
                      <w:kern w:val="0"/>
                      <w:szCs w:val="21"/>
                    </w:rPr>
                    <w:t>环保法规趋于严格，带来市场机遇；客户的需求和期望提高；竞争加剧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r>
                    <w:rPr>
                      <w:rFonts w:hint="eastAsia"/>
                    </w:rPr>
                    <w:t>内部环境</w:t>
                  </w:r>
                </w:p>
              </w:tc>
              <w:tc>
                <w:tcPr>
                  <w:tcW w:w="7147" w:type="dxa"/>
                </w:tcPr>
                <w:p>
                  <w:r>
                    <w:rPr>
                      <w:rFonts w:hint="eastAsia"/>
                    </w:rPr>
                    <w:t xml:space="preserve">☑价值观 ☑文化与知识  ☑绩效 </w:t>
                  </w:r>
                  <w:r>
                    <w:rPr>
                      <w:rFonts w:hint="eastAsia"/>
                    </w:rPr>
                    <w:sym w:font="Wingdings" w:char="00A8"/>
                  </w:r>
                  <w:r>
                    <w:rPr>
                      <w:rFonts w:hint="eastAsia" w:ascii="宋体" w:hAnsi="宋体" w:cs="宋体"/>
                      <w:kern w:val="0"/>
                      <w:sz w:val="20"/>
                    </w:rPr>
                    <w:t>财务</w:t>
                  </w:r>
                  <w:r>
                    <w:rPr>
                      <w:rFonts w:hint="eastAsia"/>
                    </w:rPr>
                    <w:t xml:space="preserve"> </w:t>
                  </w:r>
                  <w:r>
                    <w:rPr>
                      <w:rFonts w:hint="eastAsia"/>
                    </w:rPr>
                    <w:sym w:font="Wingdings" w:char="00A8"/>
                  </w:r>
                  <w:r>
                    <w:rPr>
                      <w:rFonts w:hint="eastAsia" w:ascii="宋体" w:hAnsi="宋体" w:cs="宋体"/>
                      <w:kern w:val="0"/>
                      <w:sz w:val="20"/>
                    </w:rPr>
                    <w:t>执行力</w:t>
                  </w:r>
                  <w:r>
                    <w:rPr>
                      <w:rFonts w:hint="eastAsia"/>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r>
                    <w:rPr>
                      <w:rFonts w:hint="eastAsia"/>
                    </w:rPr>
                    <w:t>列举主要的内容</w:t>
                  </w:r>
                </w:p>
              </w:tc>
              <w:tc>
                <w:tcPr>
                  <w:tcW w:w="7147" w:type="dxa"/>
                </w:tcPr>
                <w:p>
                  <w:r>
                    <w:rPr>
                      <w:rFonts w:hint="eastAsia" w:ascii="宋体" w:hAnsi="宋体" w:cs="宋体"/>
                      <w:kern w:val="0"/>
                      <w:szCs w:val="21"/>
                    </w:rPr>
                    <w:t>企业生存压力大；技术储备不足，缺少核心竞争力；员工对公司的归属感较差，满意度不高；利润空间变小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26" w:type="dxa"/>
                  <w:vAlign w:val="center"/>
                </w:tcPr>
                <w:p>
                  <w:pPr>
                    <w:rPr>
                      <w:szCs w:val="21"/>
                    </w:rPr>
                  </w:pPr>
                  <w:r>
                    <w:rPr>
                      <w:rFonts w:hint="eastAsia"/>
                      <w:szCs w:val="21"/>
                    </w:rPr>
                    <w:t>组织优势说明</w:t>
                  </w:r>
                </w:p>
              </w:tc>
              <w:tc>
                <w:tcPr>
                  <w:tcW w:w="7147" w:type="dxa"/>
                  <w:vAlign w:val="center"/>
                </w:tcPr>
                <w:p>
                  <w:pPr>
                    <w:rPr>
                      <w:szCs w:val="21"/>
                    </w:rPr>
                  </w:pPr>
                  <w:r>
                    <w:rPr>
                      <w:rFonts w:hint="eastAsia"/>
                      <w:szCs w:val="21"/>
                    </w:rPr>
                    <w:t>环保设备的市场需求稳步增长，有良好的的市场机遇；公司及产品的顾客满意度较高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26" w:type="dxa"/>
                  <w:vAlign w:val="center"/>
                </w:tcPr>
                <w:p>
                  <w:pPr>
                    <w:rPr>
                      <w:szCs w:val="21"/>
                    </w:rPr>
                  </w:pPr>
                  <w:r>
                    <w:rPr>
                      <w:rFonts w:hint="eastAsia"/>
                      <w:szCs w:val="21"/>
                    </w:rPr>
                    <w:t>组织劣势说明</w:t>
                  </w:r>
                </w:p>
              </w:tc>
              <w:tc>
                <w:tcPr>
                  <w:tcW w:w="7147" w:type="dxa"/>
                  <w:vAlign w:val="center"/>
                </w:tcPr>
                <w:p>
                  <w:pPr>
                    <w:rPr>
                      <w:szCs w:val="21"/>
                    </w:rPr>
                  </w:pPr>
                  <w:r>
                    <w:rPr>
                      <w:rFonts w:ascii="Comic Sans MS" w:hAnsi="DFKai-SB"/>
                    </w:rPr>
                    <w:t>人员素质参差不齐，管理制度不够健全</w:t>
                  </w:r>
                  <w:r>
                    <w:rPr>
                      <w:rFonts w:hint="eastAsia" w:ascii="Comic Sans MS" w:hAnsi="DFKai-SB"/>
                    </w:rPr>
                    <w:t>，员工归属感弱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r>
                    <w:rPr>
                      <w:rFonts w:hint="eastAsia"/>
                      <w:szCs w:val="21"/>
                    </w:rPr>
                    <w:t>主要风险的说明</w:t>
                  </w:r>
                </w:p>
              </w:tc>
              <w:tc>
                <w:tcPr>
                  <w:tcW w:w="7147" w:type="dxa"/>
                </w:tcPr>
                <w:p>
                  <w:pPr>
                    <w:rPr>
                      <w:rFonts w:ascii="宋体" w:hAnsi="宋体" w:cs="宋体"/>
                    </w:rPr>
                  </w:pPr>
                  <w:r>
                    <w:rPr>
                      <w:rFonts w:hint="eastAsia" w:ascii="宋体" w:hAnsi="宋体" w:cs="宋体"/>
                    </w:rPr>
                    <w:t>1、产品性能、价格与先进水平的差距较大，顾客主动选择的意愿低；</w:t>
                  </w:r>
                </w:p>
                <w:p>
                  <w:pPr>
                    <w:rPr>
                      <w:rFonts w:ascii="宋体" w:hAnsi="宋体" w:cs="宋体"/>
                    </w:rPr>
                  </w:pPr>
                  <w:r>
                    <w:rPr>
                      <w:rFonts w:hint="eastAsia" w:ascii="宋体" w:hAnsi="宋体" w:cs="宋体"/>
                    </w:rPr>
                    <w:t>2、对产品售后服务重视不够，顾客投诉或抱怨较多，导致顾客流失；</w:t>
                  </w:r>
                </w:p>
                <w:p>
                  <w:r>
                    <w:rPr>
                      <w:rFonts w:hint="eastAsia" w:ascii="宋体" w:hAnsi="宋体" w:cs="宋体"/>
                    </w:rPr>
                    <w:t>3、产品技术落后，销售能力不足造成销售额下降。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26" w:type="dxa"/>
                  <w:vAlign w:val="center"/>
                </w:tcPr>
                <w:p>
                  <w:r>
                    <w:rPr>
                      <w:rFonts w:hint="eastAsia"/>
                      <w:szCs w:val="21"/>
                    </w:rPr>
                    <w:t>机遇的说明</w:t>
                  </w:r>
                </w:p>
              </w:tc>
              <w:tc>
                <w:tcPr>
                  <w:tcW w:w="7147" w:type="dxa"/>
                  <w:vAlign w:val="center"/>
                </w:tcPr>
                <w:p>
                  <w:pPr>
                    <w:rPr>
                      <w:rFonts w:ascii="宋体" w:hAnsi="宋体" w:cs="宋体"/>
                    </w:rPr>
                  </w:pPr>
                  <w:r>
                    <w:rPr>
                      <w:rFonts w:hint="eastAsia" w:ascii="宋体" w:hAnsi="宋体" w:cs="宋体"/>
                    </w:rPr>
                    <w:t>1、国家环保政策有利于产品市场发展，通过获取必要知识，在产品性能上、可靠性方面提高，提高产品竟争力，能带来新的客户。</w:t>
                  </w:r>
                </w:p>
                <w:p>
                  <w:r>
                    <w:rPr>
                      <w:rFonts w:ascii="宋体" w:hAnsi="宋体" w:cs="宋体"/>
                    </w:rPr>
                    <w:t>2</w:t>
                  </w:r>
                  <w:r>
                    <w:rPr>
                      <w:rFonts w:hint="eastAsia" w:ascii="宋体" w:hAnsi="宋体" w:cs="宋体"/>
                    </w:rPr>
                    <w:t>、通过广告宣传、客户口碑，提高品牌效应，能够促进销售提升。</w:t>
                  </w:r>
                </w:p>
              </w:tc>
            </w:tr>
          </w:tbl>
          <w:p>
            <w:pPr>
              <w:rPr>
                <w:szCs w:val="21"/>
              </w:rPr>
            </w:pPr>
          </w:p>
          <w:p>
            <w:pPr>
              <w:rPr>
                <w:szCs w:val="21"/>
              </w:rPr>
            </w:pPr>
            <w:r>
              <w:rPr>
                <w:rFonts w:hint="eastAsia"/>
                <w:szCs w:val="21"/>
              </w:rPr>
              <w:t>主要证据体现在</w:t>
            </w:r>
            <w:r>
              <w:rPr>
                <w:rFonts w:hint="eastAsia"/>
              </w:rPr>
              <w:sym w:font="Wingdings" w:char="00FE"/>
            </w:r>
            <w:r>
              <w:rPr>
                <w:rFonts w:hint="eastAsia"/>
              </w:rPr>
              <w:t xml:space="preserve">《风险和机遇评估分析表》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t xml:space="preserve">Q </w:t>
            </w:r>
            <w:r>
              <w:rPr>
                <w:rFonts w:hint="eastAsia"/>
              </w:rPr>
              <w:t xml:space="preserve">4.2 </w:t>
            </w:r>
          </w:p>
        </w:tc>
        <w:tc>
          <w:tcPr>
            <w:tcW w:w="745" w:type="dxa"/>
          </w:tcPr>
          <w:p>
            <w:r>
              <w:rPr>
                <w:rFonts w:hint="eastAsia"/>
              </w:rPr>
              <w:t>文件名称</w:t>
            </w:r>
          </w:p>
        </w:tc>
        <w:tc>
          <w:tcPr>
            <w:tcW w:w="9259" w:type="dxa"/>
          </w:tcPr>
          <w:p>
            <w:r>
              <w:rPr>
                <w:rFonts w:hint="eastAsia"/>
              </w:rPr>
              <w:t xml:space="preserve">如： </w:t>
            </w:r>
            <w:r>
              <w:rPr>
                <w:rFonts w:ascii="Segoe UI Symbol" w:hAnsi="Segoe UI Symbol" w:cs="Segoe UI Symbol"/>
              </w:rPr>
              <w:t>☑</w:t>
            </w:r>
            <w:r>
              <w:rPr>
                <w:rFonts w:hint="eastAsia"/>
              </w:rPr>
              <w:t>《</w:t>
            </w:r>
            <w:bookmarkStart w:id="0" w:name="_Hlk47114959"/>
            <w:r>
              <w:rPr>
                <w:rFonts w:hint="eastAsia"/>
              </w:rPr>
              <w:t>相关方期望或要求识别表</w:t>
            </w:r>
            <w:bookmarkEnd w:id="0"/>
            <w:r>
              <w:rPr>
                <w:rFonts w:hint="eastAsia"/>
              </w:rPr>
              <w:t>》、</w:t>
            </w:r>
            <w:r>
              <w:rPr>
                <w:rFonts w:ascii="Segoe UI Symbol" w:hAnsi="Segoe UI Symbol" w:cs="Segoe UI Symbol"/>
              </w:rPr>
              <w:t>☑</w:t>
            </w:r>
            <w:r>
              <w:rPr>
                <w:rFonts w:hint="eastAsia"/>
              </w:rPr>
              <w:t>管理手册第4.2章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szCs w:val="21"/>
              </w:rPr>
              <w:t xml:space="preserve"> </w:t>
            </w:r>
          </w:p>
          <w:tbl>
            <w:tblPr>
              <w:tblStyle w:val="8"/>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56"/>
              <w:gridCol w:w="32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center"/>
                    <w:rPr>
                      <w:highlight w:val="cyan"/>
                    </w:rPr>
                  </w:pPr>
                  <w:r>
                    <w:rPr>
                      <w:rFonts w:hint="eastAsia"/>
                    </w:rPr>
                    <w:t>重要的相关方</w:t>
                  </w:r>
                </w:p>
              </w:tc>
              <w:tc>
                <w:tcPr>
                  <w:tcW w:w="2756" w:type="dxa"/>
                  <w:vAlign w:val="center"/>
                </w:tcPr>
                <w:p>
                  <w:pPr>
                    <w:jc w:val="center"/>
                    <w:rPr>
                      <w:highlight w:val="cyan"/>
                    </w:rPr>
                  </w:pPr>
                  <w:r>
                    <w:rPr>
                      <w:rFonts w:hint="eastAsia"/>
                    </w:rPr>
                    <w:t>重要的相关方需求和希望（不必全选）</w:t>
                  </w:r>
                </w:p>
              </w:tc>
              <w:tc>
                <w:tcPr>
                  <w:tcW w:w="3260" w:type="dxa"/>
                  <w:vAlign w:val="center"/>
                </w:tcPr>
                <w:p>
                  <w:pPr>
                    <w:jc w:val="center"/>
                    <w:rPr>
                      <w:highlight w:val="cyan"/>
                    </w:rPr>
                  </w:pPr>
                  <w:r>
                    <w:rPr>
                      <w:rFonts w:hint="eastAsia"/>
                    </w:rPr>
                    <w:t>涉及的过程和活动</w:t>
                  </w:r>
                </w:p>
              </w:tc>
              <w:tc>
                <w:tcPr>
                  <w:tcW w:w="1559" w:type="dxa"/>
                </w:tcPr>
                <w:p>
                  <w:pPr>
                    <w:jc w:val="center"/>
                  </w:pPr>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☑主管部门</w:t>
                  </w:r>
                </w:p>
              </w:tc>
              <w:tc>
                <w:tcPr>
                  <w:tcW w:w="2756" w:type="dxa"/>
                </w:tcPr>
                <w:p>
                  <w:r>
                    <w:rPr>
                      <w:rFonts w:hint="eastAsia"/>
                    </w:rPr>
                    <w:t>☑遵守相关的法律法规</w:t>
                  </w:r>
                </w:p>
                <w:p>
                  <w:r>
                    <w:rPr>
                      <w:rFonts w:hint="eastAsia"/>
                    </w:rPr>
                    <w:t>☑产品质量符合标准</w:t>
                  </w:r>
                </w:p>
                <w:p>
                  <w:r>
                    <w:rPr>
                      <w:rFonts w:hint="eastAsia"/>
                    </w:rPr>
                    <w:t>☑安全生产、环保生产</w:t>
                  </w:r>
                </w:p>
                <w:p>
                  <w:pPr>
                    <w:pStyle w:val="2"/>
                  </w:pPr>
                  <w:r>
                    <w:rPr>
                      <w:rFonts w:hint="eastAsia"/>
                    </w:rPr>
                    <w:t>☑经济效益、社会效益好</w:t>
                  </w:r>
                </w:p>
                <w:p>
                  <w:pPr>
                    <w:rPr>
                      <w:szCs w:val="22"/>
                    </w:rPr>
                  </w:pPr>
                  <w:r>
                    <w:rPr>
                      <w:rFonts w:ascii="Segoe UI Emoji" w:hAnsi="Segoe UI Emoji" w:cs="Segoe UI Emoji"/>
                    </w:rPr>
                    <w:t>☑</w:t>
                  </w:r>
                  <w:r>
                    <w:rPr>
                      <w:rFonts w:hint="eastAsia"/>
                    </w:rPr>
                    <w:t>就业最大化</w:t>
                  </w:r>
                </w:p>
              </w:tc>
              <w:tc>
                <w:tcPr>
                  <w:tcW w:w="3260" w:type="dxa"/>
                  <w:vAlign w:val="center"/>
                </w:tcPr>
                <w:p>
                  <w:r>
                    <w:rPr>
                      <w:rFonts w:hint="eastAsia"/>
                    </w:rPr>
                    <w:t>提高产品质量、扩大市场份额</w:t>
                  </w:r>
                </w:p>
                <w:p>
                  <w:pPr>
                    <w:rPr>
                      <w:szCs w:val="22"/>
                    </w:rPr>
                  </w:pPr>
                  <w:r>
                    <w:rPr>
                      <w:rFonts w:hint="eastAsia"/>
                    </w:rPr>
                    <w:t>产品的营销和服务</w:t>
                  </w:r>
                </w:p>
              </w:tc>
              <w:tc>
                <w:tcPr>
                  <w:tcW w:w="1559"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☑供方</w:t>
                  </w:r>
                </w:p>
              </w:tc>
              <w:tc>
                <w:tcPr>
                  <w:tcW w:w="2756" w:type="dxa"/>
                </w:tcPr>
                <w:p>
                  <w:r>
                    <w:rPr>
                      <w:rFonts w:hint="eastAsia"/>
                    </w:rPr>
                    <w:t>☑组织的持续经营、</w:t>
                  </w:r>
                </w:p>
                <w:p>
                  <w:r>
                    <w:rPr>
                      <w:rFonts w:hint="eastAsia"/>
                    </w:rPr>
                    <w:t>☑明示采购的质量要求</w:t>
                  </w:r>
                </w:p>
                <w:p>
                  <w:pPr>
                    <w:pStyle w:val="2"/>
                  </w:pPr>
                  <w:r>
                    <w:rPr>
                      <w:rFonts w:hint="eastAsia"/>
                    </w:rPr>
                    <w:t>☑长期合作、互利共赢</w:t>
                  </w:r>
                </w:p>
                <w:p>
                  <w:pPr>
                    <w:rPr>
                      <w:szCs w:val="22"/>
                    </w:rPr>
                  </w:pPr>
                  <w:r>
                    <w:rPr>
                      <w:rFonts w:hint="eastAsia"/>
                    </w:rPr>
                    <w:t>☑及时结算货款</w:t>
                  </w:r>
                </w:p>
              </w:tc>
              <w:tc>
                <w:tcPr>
                  <w:tcW w:w="3260" w:type="dxa"/>
                  <w:vAlign w:val="center"/>
                </w:tcPr>
                <w:p>
                  <w:r>
                    <w:rPr>
                      <w:rFonts w:hint="eastAsia"/>
                    </w:rPr>
                    <w:t>提供公司生产所需的物资</w:t>
                  </w:r>
                </w:p>
                <w:p>
                  <w:r>
                    <w:rPr>
                      <w:rFonts w:hint="eastAsia"/>
                    </w:rPr>
                    <w:t>供应商提供的物资</w:t>
                  </w:r>
                </w:p>
                <w:p>
                  <w:pPr>
                    <w:rPr>
                      <w:szCs w:val="22"/>
                    </w:rPr>
                  </w:pPr>
                  <w:r>
                    <w:rPr>
                      <w:rFonts w:hint="eastAsia"/>
                    </w:rPr>
                    <w:t>按合同付款要求付款</w:t>
                  </w:r>
                </w:p>
              </w:tc>
              <w:tc>
                <w:tcPr>
                  <w:tcW w:w="1559"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☑顾客</w:t>
                  </w:r>
                </w:p>
              </w:tc>
              <w:tc>
                <w:tcPr>
                  <w:tcW w:w="2756" w:type="dxa"/>
                </w:tcPr>
                <w:p>
                  <w:r>
                    <w:rPr>
                      <w:rFonts w:hint="eastAsia"/>
                    </w:rPr>
                    <w:t>☑产品质量符合顾客要求</w:t>
                  </w:r>
                </w:p>
                <w:p>
                  <w:r>
                    <w:rPr>
                      <w:rFonts w:hint="eastAsia"/>
                    </w:rPr>
                    <w:t>☑及时交货</w:t>
                  </w:r>
                </w:p>
                <w:p>
                  <w:pPr>
                    <w:rPr>
                      <w:szCs w:val="22"/>
                    </w:rPr>
                  </w:pPr>
                  <w:r>
                    <w:rPr>
                      <w:rFonts w:ascii="Segoe UI Emoji" w:hAnsi="Segoe UI Emoji" w:cs="Segoe UI Emoji"/>
                    </w:rPr>
                    <w:t>☑</w:t>
                  </w:r>
                  <w:r>
                    <w:rPr>
                      <w:rFonts w:hint="eastAsia"/>
                    </w:rPr>
                    <w:t>服务质量</w:t>
                  </w:r>
                </w:p>
              </w:tc>
              <w:tc>
                <w:tcPr>
                  <w:tcW w:w="3260" w:type="dxa"/>
                  <w:vAlign w:val="center"/>
                </w:tcPr>
                <w:p>
                  <w:r>
                    <w:rPr>
                      <w:rFonts w:hint="eastAsia"/>
                    </w:rPr>
                    <w:t>按顾客提出的要求进行产品的生产过程</w:t>
                  </w:r>
                </w:p>
                <w:p>
                  <w:r>
                    <w:rPr>
                      <w:rFonts w:hint="eastAsia"/>
                    </w:rPr>
                    <w:t>按合同交货时间将产品交客户指定地点</w:t>
                  </w:r>
                </w:p>
                <w:p>
                  <w:r>
                    <w:rPr>
                      <w:rFonts w:hint="eastAsia"/>
                    </w:rPr>
                    <w:t>产品交付后续的服务</w:t>
                  </w:r>
                </w:p>
              </w:tc>
              <w:tc>
                <w:tcPr>
                  <w:tcW w:w="1559"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szCs w:val="24"/>
                    </w:rPr>
                  </w:pPr>
                  <w:r>
                    <w:rPr>
                      <w:rFonts w:hint="eastAsia"/>
                    </w:rPr>
                    <w:t>☑员工</w:t>
                  </w:r>
                </w:p>
              </w:tc>
              <w:tc>
                <w:tcPr>
                  <w:tcW w:w="2756" w:type="dxa"/>
                </w:tcPr>
                <w:p>
                  <w:r>
                    <w:rPr>
                      <w:rFonts w:hint="eastAsia"/>
                    </w:rPr>
                    <w:t>☑组织的持续经营</w:t>
                  </w:r>
                </w:p>
                <w:p>
                  <w:pPr>
                    <w:pStyle w:val="2"/>
                    <w:rPr>
                      <w:bCs w:val="0"/>
                      <w:spacing w:val="0"/>
                      <w:szCs w:val="22"/>
                    </w:rPr>
                  </w:pPr>
                  <w:r>
                    <w:rPr>
                      <w:rFonts w:hint="eastAsia"/>
                    </w:rPr>
                    <w:t>☑</w:t>
                  </w:r>
                  <w:r>
                    <w:rPr>
                      <w:rFonts w:hint="eastAsia"/>
                      <w:bCs w:val="0"/>
                      <w:spacing w:val="0"/>
                      <w:szCs w:val="22"/>
                    </w:rPr>
                    <w:t>薪资、福利增加</w:t>
                  </w:r>
                </w:p>
                <w:p>
                  <w:pPr>
                    <w:rPr>
                      <w:szCs w:val="24"/>
                    </w:rPr>
                  </w:pPr>
                  <w:r>
                    <w:rPr>
                      <w:rFonts w:hint="eastAsia"/>
                    </w:rPr>
                    <w:t>☑</w:t>
                  </w:r>
                  <w:r>
                    <w:rPr>
                      <w:rFonts w:hint="eastAsia"/>
                      <w:bCs/>
                      <w:szCs w:val="22"/>
                    </w:rPr>
                    <w:t>提供培训机会</w:t>
                  </w:r>
                </w:p>
              </w:tc>
              <w:tc>
                <w:tcPr>
                  <w:tcW w:w="3260" w:type="dxa"/>
                  <w:vAlign w:val="center"/>
                </w:tcPr>
                <w:p>
                  <w:r>
                    <w:rPr>
                      <w:rFonts w:hint="eastAsia"/>
                    </w:rPr>
                    <w:t>根据生产研发要求进行培训</w:t>
                  </w:r>
                </w:p>
                <w:p>
                  <w:r>
                    <w:rPr>
                      <w:rFonts w:hint="eastAsia"/>
                    </w:rPr>
                    <w:t>增强企业的凝聚力</w:t>
                  </w:r>
                </w:p>
                <w:p>
                  <w:r>
                    <w:rPr>
                      <w:rFonts w:hint="eastAsia"/>
                    </w:rPr>
                    <w:t>调动员人积极性</w:t>
                  </w:r>
                </w:p>
              </w:tc>
              <w:tc>
                <w:tcPr>
                  <w:tcW w:w="1559"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☑投资方</w:t>
                  </w:r>
                </w:p>
              </w:tc>
              <w:tc>
                <w:tcPr>
                  <w:tcW w:w="2756" w:type="dxa"/>
                </w:tcPr>
                <w:p>
                  <w:r>
                    <w:rPr>
                      <w:rFonts w:hint="eastAsia"/>
                    </w:rPr>
                    <w:t>☑产品优势和市场前景</w:t>
                  </w:r>
                </w:p>
                <w:p>
                  <w:r>
                    <w:rPr>
                      <w:rFonts w:hint="eastAsia"/>
                    </w:rPr>
                    <w:t>☑获得回报</w:t>
                  </w:r>
                </w:p>
              </w:tc>
              <w:tc>
                <w:tcPr>
                  <w:tcW w:w="3260" w:type="dxa"/>
                  <w:vAlign w:val="center"/>
                </w:tcPr>
                <w:p>
                  <w:r>
                    <w:rPr>
                      <w:rFonts w:hint="eastAsia"/>
                    </w:rPr>
                    <w:t>产品品牌在社会上所占市场份额</w:t>
                  </w:r>
                </w:p>
                <w:p>
                  <w:r>
                    <w:rPr>
                      <w:rFonts w:hint="eastAsia"/>
                    </w:rPr>
                    <w:t>产品销量和利润</w:t>
                  </w:r>
                </w:p>
              </w:tc>
              <w:tc>
                <w:tcPr>
                  <w:tcW w:w="1559"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☑审核机构</w:t>
                  </w:r>
                </w:p>
              </w:tc>
              <w:tc>
                <w:tcPr>
                  <w:tcW w:w="2756" w:type="dxa"/>
                </w:tcPr>
                <w:p>
                  <w:r>
                    <w:rPr>
                      <w:rFonts w:hint="eastAsia"/>
                    </w:rPr>
                    <w:t>☑</w:t>
                  </w:r>
                  <w:r>
                    <w:rPr>
                      <w:rFonts w:hint="eastAsia" w:ascii="宋体" w:hAnsi="宋体" w:cs="宋体"/>
                      <w:kern w:val="0"/>
                      <w:szCs w:val="21"/>
                    </w:rPr>
                    <w:t>公司体系运作的有效性、充分性和符合性</w:t>
                  </w:r>
                </w:p>
              </w:tc>
              <w:tc>
                <w:tcPr>
                  <w:tcW w:w="3260" w:type="dxa"/>
                  <w:vAlign w:val="center"/>
                </w:tcPr>
                <w:p>
                  <w:r>
                    <w:rPr>
                      <w:rFonts w:hint="eastAsia"/>
                    </w:rPr>
                    <w:t>管理体系运行的策划和实施</w:t>
                  </w:r>
                </w:p>
              </w:tc>
              <w:tc>
                <w:tcPr>
                  <w:tcW w:w="1559"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56" w:type="dxa"/>
                </w:tcPr>
                <w:p/>
              </w:tc>
              <w:tc>
                <w:tcPr>
                  <w:tcW w:w="3260" w:type="dxa"/>
                </w:tcPr>
                <w:p/>
              </w:tc>
              <w:tc>
                <w:tcPr>
                  <w:tcW w:w="1559"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szCs w:val="21"/>
              </w:rPr>
            </w:pPr>
          </w:p>
          <w:p>
            <w:r>
              <w:rPr>
                <w:rFonts w:hint="eastAsia"/>
                <w:szCs w:val="21"/>
              </w:rPr>
              <w:t>主要证据体现在</w:t>
            </w:r>
            <w:r>
              <w:rPr>
                <w:rFonts w:hint="eastAsia"/>
              </w:rPr>
              <w:t xml:space="preserve"> </w:t>
            </w:r>
            <w:r>
              <w:rPr>
                <w:rFonts w:hint="eastAsia"/>
              </w:rPr>
              <w:sym w:font="Wingdings" w:char="00FE"/>
            </w:r>
            <w:r>
              <w:rPr>
                <w:rFonts w:hint="eastAsia"/>
              </w:rPr>
              <w:t xml:space="preserve">《相关方期望或要求识别表》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确定质量管理体系的范围</w:t>
            </w:r>
          </w:p>
        </w:tc>
        <w:tc>
          <w:tcPr>
            <w:tcW w:w="960" w:type="dxa"/>
            <w:vMerge w:val="restart"/>
          </w:tcPr>
          <w:p>
            <w:r>
              <w:t xml:space="preserve">Q </w:t>
            </w:r>
            <w:r>
              <w:rPr>
                <w:rFonts w:hint="eastAsia"/>
              </w:rPr>
              <w:t>4.3</w:t>
            </w:r>
          </w:p>
        </w:tc>
        <w:tc>
          <w:tcPr>
            <w:tcW w:w="745" w:type="dxa"/>
          </w:tcPr>
          <w:p>
            <w:r>
              <w:rPr>
                <w:rFonts w:hint="eastAsia"/>
              </w:rPr>
              <w:t>文件名称</w:t>
            </w:r>
          </w:p>
        </w:tc>
        <w:tc>
          <w:tcPr>
            <w:tcW w:w="9259" w:type="dxa"/>
            <w:vAlign w:val="center"/>
          </w:tcPr>
          <w:p>
            <w:r>
              <w:rPr>
                <w:rFonts w:hint="eastAsia"/>
              </w:rPr>
              <w:t xml:space="preserve">如： </w:t>
            </w:r>
            <w:r>
              <w:rPr>
                <w:rFonts w:ascii="Segoe UI Symbol" w:hAnsi="Segoe UI Symbol" w:cs="Segoe UI Symbol"/>
              </w:rPr>
              <w:t>☑</w:t>
            </w:r>
            <w:r>
              <w:rPr>
                <w:rFonts w:hint="eastAsia" w:ascii="宋体" w:hAnsi="宋体" w:cs="宋体"/>
              </w:rPr>
              <w:t>“公司介绍”、</w:t>
            </w:r>
            <w:r>
              <w:rPr>
                <w:rFonts w:ascii="Segoe UI Symbol" w:hAnsi="Segoe UI Symbol" w:cs="Segoe UI Symbol"/>
              </w:rPr>
              <w:t>☑</w:t>
            </w:r>
            <w:r>
              <w:rPr>
                <w:rFonts w:hint="eastAsia" w:ascii="宋体" w:hAnsi="宋体" w:cs="宋体"/>
              </w:rPr>
              <w:t>质量手册</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7132" w:type="dxa"/>
                </w:tcPr>
                <w:p>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7132" w:type="dxa"/>
                  <w:vAlign w:val="top"/>
                </w:tcPr>
                <w:p>
                  <w:r>
                    <w:rPr>
                      <w:rFonts w:hint="eastAsia"/>
                    </w:rPr>
                    <w:t>环保设备的生产和销售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7132" w:type="dxa"/>
                  <w:vAlign w:val="top"/>
                </w:tcPr>
                <w:p>
                  <w:r>
                    <w:rPr>
                      <w:rFonts w:hint="eastAsia"/>
                    </w:rPr>
                    <w:t>宜兴市和桥镇创业园纯江路兴和路10号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7132" w:type="dxa"/>
                  <w:vAlign w:val="top"/>
                </w:tcPr>
                <w:p>
                  <w:r>
                    <w:rPr>
                      <w:rFonts w:hint="eastAsia"/>
                    </w:rPr>
                    <w:t>宜兴市和桥镇创业园纯江路兴和路10号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7132" w:type="dxa"/>
                  <w:vAlign w:val="top"/>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临时场所，如：</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7132" w:type="dxa"/>
                  <w:vAlign w:val="top"/>
                </w:tcPr>
                <w:p>
                  <w:r>
                    <w:rPr>
                      <w:rFonts w:hint="eastAsia"/>
                    </w:rPr>
                    <w:sym w:font="Wingdings" w:char="00FE"/>
                  </w:r>
                  <w:r>
                    <w:rPr>
                      <w:rFonts w:hint="eastAsia"/>
                    </w:rPr>
                    <w:t xml:space="preserve"> 体系建立以来</w:t>
                  </w:r>
                </w:p>
                <w:p>
                  <w:r>
                    <w:rPr>
                      <w:rFonts w:hint="eastAsia"/>
                    </w:rPr>
                    <w:sym w:font="Wingdings" w:char="00A8"/>
                  </w:r>
                  <w:r>
                    <w:rPr>
                      <w:rFonts w:hint="eastAsia"/>
                    </w:rPr>
                    <w:t xml:space="preserve"> 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7132" w:type="dxa"/>
                </w:tcPr>
                <w:p>
                  <w:r>
                    <w:rPr>
                      <w:rFonts w:hint="eastAsia"/>
                    </w:rPr>
                    <w:sym w:font="Wingdings" w:char="00A8"/>
                  </w:r>
                  <w:r>
                    <w:rPr>
                      <w:rFonts w:hint="eastAsia"/>
                    </w:rPr>
                    <w:t>8.3产品和服务的设计和开发</w:t>
                  </w:r>
                </w:p>
                <w:p>
                  <w:r>
                    <w:rPr>
                      <w:rFonts w:hint="eastAsia"/>
                    </w:rPr>
                    <w:sym w:font="Wingdings" w:char="00FE"/>
                  </w:r>
                  <w:r>
                    <w:rPr>
                      <w:rFonts w:hint="eastAsia"/>
                    </w:rPr>
                    <w:t>无不适用条款</w:t>
                  </w:r>
                </w:p>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7132" w:type="dxa"/>
                  <w:vAlign w:val="center"/>
                </w:tcPr>
                <w:p>
                  <w:r>
                    <w:rPr>
                      <w:rFonts w:hint="eastAsia"/>
                    </w:rPr>
                    <w:sym w:font="Wingdings 2" w:char="00A3"/>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A3"/>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bl>
          <w:p>
            <w:pPr>
              <w:pStyle w:val="2"/>
            </w:pPr>
          </w:p>
          <w:p>
            <w:pPr>
              <w:pStyle w:val="2"/>
            </w:pPr>
          </w:p>
          <w:p>
            <w:pPr>
              <w:rPr>
                <w:szCs w:val="21"/>
              </w:rPr>
            </w:pPr>
            <w:r>
              <w:rPr>
                <w:rFonts w:hint="eastAsia"/>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质量管理及其过程体系</w:t>
            </w:r>
          </w:p>
        </w:tc>
        <w:tc>
          <w:tcPr>
            <w:tcW w:w="960" w:type="dxa"/>
            <w:vMerge w:val="restart"/>
          </w:tcPr>
          <w:p>
            <w:r>
              <w:t xml:space="preserve">Q </w:t>
            </w:r>
            <w:r>
              <w:rPr>
                <w:rFonts w:hint="eastAsia"/>
              </w:rPr>
              <w:t xml:space="preserve">4.4 </w:t>
            </w:r>
          </w:p>
        </w:tc>
        <w:tc>
          <w:tcPr>
            <w:tcW w:w="745" w:type="dxa"/>
          </w:tcPr>
          <w:p>
            <w:r>
              <w:rPr>
                <w:rFonts w:hint="eastAsia"/>
              </w:rPr>
              <w:t>文件名称</w:t>
            </w:r>
          </w:p>
        </w:tc>
        <w:tc>
          <w:tcPr>
            <w:tcW w:w="9259" w:type="dxa"/>
            <w:vAlign w:val="top"/>
          </w:tcPr>
          <w:p>
            <w:r>
              <w:rPr>
                <w:rFonts w:hint="eastAsia"/>
              </w:rPr>
              <w:t>如：☑管理手册第4.4章和</w:t>
            </w:r>
            <w:r>
              <w:rPr>
                <w:rFonts w:hint="eastAsia"/>
                <w:lang w:eastAsia="zh-CN"/>
              </w:rPr>
              <w:t>☑</w:t>
            </w:r>
            <w:r>
              <w:rPr>
                <w:rFonts w:hint="eastAsia"/>
              </w:rPr>
              <w:t>《过程风险与机遇评价与应对策划表》</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vAlign w:val="top"/>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rPr>
                <w:b/>
                <w:bCs/>
              </w:rPr>
            </w:pPr>
            <w:r>
              <w:rPr>
                <w:rFonts w:hint="eastAsia"/>
              </w:rPr>
              <w:t xml:space="preserve">☑订单评审过程 ☑制造过程 ☑交付和顾客反馈过程 ☑经营计划过程☑内部审核过程 ☑管理评审过程 </w:t>
            </w:r>
            <w:r>
              <w:rPr>
                <w:rFonts w:hint="eastAsia"/>
                <w:lang w:eastAsia="zh-CN"/>
              </w:rPr>
              <w:t>☑</w:t>
            </w:r>
            <w:r>
              <w:rPr>
                <w:rFonts w:hint="eastAsia"/>
              </w:rPr>
              <w:t xml:space="preserve">文件记录管理过程 ☑人力资源管理过程 ☑采购过程 ☑检验过程 </w:t>
            </w:r>
            <w:r>
              <w:rPr>
                <w:rFonts w:hint="eastAsia"/>
                <w:lang w:eastAsia="zh-CN"/>
              </w:rPr>
              <w:t>☑</w:t>
            </w:r>
            <w:r>
              <w:rPr>
                <w:rFonts w:hint="eastAsia"/>
              </w:rPr>
              <w:t>设备工装管理过程☑检验设备管理过程☑不合格管理过程☑改进过程</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□新产品设计开发 □原材料订制 </w:t>
            </w:r>
            <w:r>
              <w:rPr>
                <w:rFonts w:hint="eastAsia"/>
                <w:lang w:eastAsia="zh-CN"/>
              </w:rPr>
              <w:t>□</w:t>
            </w:r>
            <w:r>
              <w:rPr>
                <w:rFonts w:hint="eastAsia"/>
              </w:rPr>
              <w:t xml:space="preserve">生产/服务过程 □检验检测 </w:t>
            </w:r>
            <w:r>
              <w:rPr>
                <w:rFonts w:hint="eastAsia"/>
                <w:lang w:eastAsia="zh-CN"/>
              </w:rPr>
              <w:t>□</w:t>
            </w:r>
            <w:r>
              <w:rPr>
                <w:rFonts w:hint="eastAsia"/>
              </w:rPr>
              <w:t>产品运输 □设备维修</w:t>
            </w:r>
          </w:p>
          <w:p>
            <w:pPr>
              <w:spacing w:before="40" w:after="40"/>
            </w:pPr>
            <w:r>
              <w:rPr>
                <w:rFonts w:hint="eastAsia"/>
              </w:rPr>
              <w:t>□人员培训 □其他</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t xml:space="preserve">Q </w:t>
            </w:r>
            <w:r>
              <w:rPr>
                <w:rFonts w:hint="eastAsia"/>
              </w:rPr>
              <w:t>5.1  </w:t>
            </w:r>
          </w:p>
        </w:tc>
        <w:tc>
          <w:tcPr>
            <w:tcW w:w="745" w:type="dxa"/>
          </w:tcPr>
          <w:p>
            <w:r>
              <w:rPr>
                <w:rFonts w:hint="eastAsia"/>
              </w:rPr>
              <w:t>文件名称</w:t>
            </w:r>
          </w:p>
        </w:tc>
        <w:tc>
          <w:tcPr>
            <w:tcW w:w="9259" w:type="dxa"/>
          </w:tcPr>
          <w:p>
            <w:r>
              <w:rPr>
                <w:rFonts w:hint="eastAsia"/>
              </w:rPr>
              <w:t>如：管理手册第5.1章和“总经理岗位职责”</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szCs w:val="21"/>
              </w:rPr>
              <w:t>与最高管理者沟通其领导作用与承诺：</w:t>
            </w:r>
          </w:p>
          <w:p>
            <w:pPr>
              <w:rPr>
                <w:szCs w:val="21"/>
              </w:rPr>
            </w:pPr>
            <w:r>
              <w:rPr>
                <w:rFonts w:hint="eastAsia"/>
                <w:szCs w:val="21"/>
              </w:rPr>
              <w:sym w:font="Wingdings" w:char="00FE"/>
            </w:r>
            <w:r>
              <w:rPr>
                <w:rFonts w:hint="eastAsia"/>
                <w:szCs w:val="21"/>
              </w:rPr>
              <w:t xml:space="preserve">对质量管理体系的有效性承担责任； </w:t>
            </w:r>
          </w:p>
          <w:p>
            <w:pPr>
              <w:rPr>
                <w:szCs w:val="21"/>
              </w:rPr>
            </w:pPr>
            <w:r>
              <w:rPr>
                <w:rFonts w:hint="eastAsia"/>
                <w:szCs w:val="21"/>
              </w:rPr>
              <w:sym w:font="Wingdings" w:char="00FE"/>
            </w:r>
            <w:r>
              <w:rPr>
                <w:rFonts w:hint="eastAsia" w:ascii="宋体" w:hAnsi="宋体" w:cs="宋体"/>
                <w:szCs w:val="24"/>
              </w:rPr>
              <w:t>确保制定质量方针和质量目标，并与组织环境和战略方向相一致；</w:t>
            </w:r>
            <w:r>
              <w:rPr>
                <w:rFonts w:hint="eastAsia"/>
                <w:szCs w:val="21"/>
              </w:rPr>
              <w:t xml:space="preserve"> </w:t>
            </w:r>
          </w:p>
          <w:p>
            <w:pPr>
              <w:rPr>
                <w:szCs w:val="21"/>
              </w:rPr>
            </w:pPr>
            <w:r>
              <w:rPr>
                <w:rFonts w:hint="eastAsia"/>
                <w:szCs w:val="21"/>
              </w:rPr>
              <w:sym w:font="Wingdings" w:char="00FE"/>
            </w:r>
            <w:r>
              <w:rPr>
                <w:rFonts w:hint="eastAsia" w:ascii="宋体" w:hAnsi="宋体" w:cs="宋体"/>
                <w:szCs w:val="24"/>
              </w:rPr>
              <w:t>确保质量管理体系要求融入与组织的业务过程；</w:t>
            </w:r>
            <w:r>
              <w:rPr>
                <w:rFonts w:hint="eastAsia"/>
                <w:szCs w:val="21"/>
              </w:rPr>
              <w:t xml:space="preserve"> </w:t>
            </w:r>
          </w:p>
          <w:p>
            <w:pPr>
              <w:rPr>
                <w:szCs w:val="21"/>
              </w:rPr>
            </w:pPr>
            <w:r>
              <w:rPr>
                <w:rFonts w:hint="eastAsia"/>
                <w:szCs w:val="21"/>
              </w:rPr>
              <w:sym w:font="Wingdings" w:char="00FE"/>
            </w:r>
            <w:r>
              <w:rPr>
                <w:rFonts w:hint="eastAsia" w:ascii="宋体" w:hAnsi="宋体" w:cs="宋体"/>
                <w:szCs w:val="24"/>
              </w:rPr>
              <w:t>促进使用过程方法和基于风险的思维；</w:t>
            </w:r>
            <w:r>
              <w:rPr>
                <w:rFonts w:hint="eastAsia"/>
                <w:szCs w:val="21"/>
              </w:rPr>
              <w:t xml:space="preserve"> </w:t>
            </w:r>
          </w:p>
          <w:p>
            <w:pPr>
              <w:rPr>
                <w:szCs w:val="21"/>
              </w:rPr>
            </w:pPr>
            <w:r>
              <w:rPr>
                <w:rFonts w:hint="eastAsia"/>
                <w:szCs w:val="21"/>
              </w:rPr>
              <w:sym w:font="Wingdings" w:char="00FE"/>
            </w:r>
            <w:r>
              <w:rPr>
                <w:rFonts w:hint="eastAsia" w:ascii="宋体" w:hAnsi="宋体" w:cs="宋体"/>
                <w:szCs w:val="24"/>
              </w:rPr>
              <w:t>确保获得质量管理体系所需的资源；</w:t>
            </w:r>
          </w:p>
          <w:p>
            <w:pPr>
              <w:ind w:left="210" w:hanging="210" w:hangingChars="100"/>
              <w:rPr>
                <w:rFonts w:ascii="宋体" w:hAnsi="宋体" w:cs="宋体"/>
                <w:szCs w:val="24"/>
              </w:rPr>
            </w:pPr>
            <w:r>
              <w:rPr>
                <w:rFonts w:hint="eastAsia"/>
                <w:szCs w:val="21"/>
              </w:rPr>
              <w:sym w:font="Wingdings" w:char="00FE"/>
            </w:r>
            <w:r>
              <w:rPr>
                <w:rFonts w:hint="eastAsia" w:ascii="宋体" w:hAnsi="宋体" w:cs="宋体"/>
                <w:szCs w:val="24"/>
              </w:rPr>
              <w:t>沟通有效的质量管理 和符合质量管理体系要求的重要性；</w:t>
            </w:r>
          </w:p>
          <w:p>
            <w:pPr>
              <w:ind w:left="210" w:hanging="210" w:hangingChars="100"/>
              <w:rPr>
                <w:rFonts w:ascii="宋体" w:hAnsi="宋体" w:cs="宋体"/>
                <w:szCs w:val="24"/>
              </w:rPr>
            </w:pPr>
            <w:r>
              <w:rPr>
                <w:rFonts w:hint="eastAsia"/>
                <w:szCs w:val="21"/>
              </w:rPr>
              <w:sym w:font="Wingdings" w:char="00FE"/>
            </w:r>
            <w:r>
              <w:rPr>
                <w:rFonts w:hint="eastAsia" w:ascii="宋体" w:hAnsi="宋体" w:cs="宋体"/>
                <w:szCs w:val="24"/>
              </w:rPr>
              <w:t>确保实现质量管理体系的预期结果；</w:t>
            </w:r>
          </w:p>
          <w:p>
            <w:pPr>
              <w:rPr>
                <w:szCs w:val="21"/>
              </w:rPr>
            </w:pPr>
            <w:r>
              <w:rPr>
                <w:rFonts w:hint="eastAsia"/>
                <w:szCs w:val="21"/>
              </w:rPr>
              <w:sym w:font="Wingdings" w:char="00FE"/>
            </w:r>
            <w:r>
              <w:rPr>
                <w:rFonts w:hint="eastAsia" w:ascii="宋体" w:hAnsi="宋体" w:cs="宋体"/>
                <w:szCs w:val="24"/>
              </w:rPr>
              <w:t>促使、指导和支持员工努力提高质量管理体系的有效性；</w:t>
            </w:r>
          </w:p>
          <w:p>
            <w:pPr>
              <w:rPr>
                <w:szCs w:val="21"/>
              </w:rPr>
            </w:pPr>
            <w:r>
              <w:rPr>
                <w:rFonts w:hint="eastAsia"/>
                <w:szCs w:val="21"/>
              </w:rPr>
              <w:sym w:font="Wingdings" w:char="00FE"/>
            </w:r>
            <w:r>
              <w:rPr>
                <w:rFonts w:hint="eastAsia"/>
                <w:szCs w:val="21"/>
              </w:rPr>
              <w:t>推动改进；</w:t>
            </w:r>
          </w:p>
          <w:p>
            <w:pPr>
              <w:rPr>
                <w:szCs w:val="21"/>
              </w:rPr>
            </w:pPr>
            <w:r>
              <w:rPr>
                <w:rFonts w:hint="eastAsia"/>
                <w:szCs w:val="21"/>
              </w:rPr>
              <w:sym w:font="Wingdings" w:char="00FE"/>
            </w:r>
            <w:r>
              <w:rPr>
                <w:rFonts w:hint="eastAsia"/>
                <w:szCs w:val="21"/>
              </w:rPr>
              <w:t>支持其他相关管理者在其职责范围内发挥领导作用。</w:t>
            </w:r>
          </w:p>
          <w:p>
            <w:pPr>
              <w:rPr>
                <w:szCs w:val="21"/>
              </w:rPr>
            </w:pPr>
          </w:p>
          <w:p>
            <w:pPr>
              <w:rPr>
                <w:szCs w:val="21"/>
              </w:rPr>
            </w:pPr>
            <w:r>
              <w:rPr>
                <w:rFonts w:hint="eastAsia"/>
                <w:szCs w:val="21"/>
              </w:rPr>
              <w:sym w:font="Wingdings" w:char="00FE"/>
            </w:r>
            <w:r>
              <w:rPr>
                <w:rFonts w:hint="eastAsia"/>
                <w:szCs w:val="21"/>
              </w:rPr>
              <w:t xml:space="preserve"> 覆盖了标准第5.1章的全面要求，</w:t>
            </w:r>
            <w:r>
              <w:rPr>
                <w:rFonts w:hint="eastAsia"/>
                <w:szCs w:val="21"/>
              </w:rPr>
              <w:sym w:font="Wingdings" w:char="00A8"/>
            </w:r>
            <w:r>
              <w:rPr>
                <w:rFonts w:hint="eastAsia"/>
                <w:szCs w:val="21"/>
              </w:rPr>
              <w:t xml:space="preserve"> 未覆盖标准第5.1章的全面要求，缺少：</w:t>
            </w:r>
            <w:r>
              <w:rPr>
                <w:rFonts w:hint="eastAsia"/>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r>
              <w:rPr>
                <w:rFonts w:hint="eastAsia"/>
              </w:rPr>
              <w:t>以顾客为关注焦点</w:t>
            </w:r>
          </w:p>
          <w:p>
            <w:pPr>
              <w:rPr>
                <w:rFonts w:hint="eastAsia"/>
              </w:rPr>
            </w:pPr>
          </w:p>
        </w:tc>
        <w:tc>
          <w:tcPr>
            <w:tcW w:w="960" w:type="dxa"/>
            <w:vMerge w:val="restart"/>
            <w:vAlign w:val="top"/>
          </w:tcPr>
          <w:p>
            <w:r>
              <w:rPr>
                <w:rFonts w:hint="eastAsia"/>
              </w:rPr>
              <w:t>Q5.1.2  </w:t>
            </w:r>
          </w:p>
        </w:tc>
        <w:tc>
          <w:tcPr>
            <w:tcW w:w="745" w:type="dxa"/>
            <w:vAlign w:val="top"/>
          </w:tcPr>
          <w:p>
            <w:pPr>
              <w:rPr>
                <w:rFonts w:hint="eastAsia"/>
              </w:rPr>
            </w:pPr>
            <w:r>
              <w:rPr>
                <w:rFonts w:hint="eastAsia"/>
              </w:rPr>
              <w:t>文件名称</w:t>
            </w:r>
          </w:p>
        </w:tc>
        <w:tc>
          <w:tcPr>
            <w:tcW w:w="9259" w:type="dxa"/>
            <w:vAlign w:val="top"/>
          </w:tcPr>
          <w:p>
            <w:pPr>
              <w:rPr>
                <w:rFonts w:hint="eastAsia"/>
              </w:rPr>
            </w:pPr>
            <w:r>
              <w:rPr>
                <w:rFonts w:hint="eastAsia"/>
              </w:rPr>
              <w:t>如：☑管理手册第5.1章</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pPr>
              <w:rPr>
                <w:rFonts w:hint="eastAsia"/>
              </w:rPr>
            </w:pPr>
          </w:p>
        </w:tc>
        <w:tc>
          <w:tcPr>
            <w:tcW w:w="960" w:type="dxa"/>
            <w:vMerge w:val="continue"/>
            <w:vAlign w:val="top"/>
          </w:tcPr>
          <w:p/>
        </w:tc>
        <w:tc>
          <w:tcPr>
            <w:tcW w:w="745" w:type="dxa"/>
            <w:vAlign w:val="top"/>
          </w:tcPr>
          <w:p>
            <w:pPr>
              <w:rPr>
                <w:rFonts w:hint="eastAsia"/>
              </w:rPr>
            </w:pPr>
            <w:r>
              <w:rPr>
                <w:rFonts w:hint="eastAsia"/>
              </w:rPr>
              <w:t>运行证据</w:t>
            </w:r>
          </w:p>
        </w:tc>
        <w:tc>
          <w:tcPr>
            <w:tcW w:w="9259" w:type="dxa"/>
            <w:vAlign w:val="top"/>
          </w:tcPr>
          <w:p>
            <w:pPr>
              <w:rPr>
                <w:color w:val="000000"/>
                <w:szCs w:val="21"/>
              </w:rPr>
            </w:pPr>
            <w:r>
              <w:rPr>
                <w:rFonts w:hint="eastAsia"/>
                <w:color w:val="000000"/>
                <w:szCs w:val="21"/>
              </w:rPr>
              <w:t xml:space="preserve"> 最高管理者证实其以顾客为关注焦点的领导作用和承诺：</w:t>
            </w:r>
          </w:p>
          <w:p>
            <w:pPr>
              <w:rPr>
                <w:color w:val="000000"/>
                <w:szCs w:val="21"/>
              </w:rPr>
            </w:pPr>
            <w:r>
              <w:rPr>
                <w:rFonts w:hint="eastAsia"/>
              </w:rPr>
              <w:t>☑</w:t>
            </w:r>
            <w:r>
              <w:rPr>
                <w:rFonts w:hint="eastAsia"/>
                <w:color w:val="000000"/>
                <w:szCs w:val="21"/>
              </w:rPr>
              <w:t xml:space="preserve">确定、理解并持续地满足顾客要求以及适用的法律法规要求； </w:t>
            </w:r>
          </w:p>
          <w:p>
            <w:pPr>
              <w:rPr>
                <w:color w:val="000000"/>
                <w:szCs w:val="21"/>
              </w:rPr>
            </w:pPr>
            <w:r>
              <w:rPr>
                <w:rFonts w:hint="eastAsia"/>
              </w:rPr>
              <w:t>☑</w:t>
            </w:r>
            <w:r>
              <w:rPr>
                <w:rFonts w:hint="eastAsia"/>
                <w:color w:val="000000"/>
                <w:szCs w:val="21"/>
              </w:rPr>
              <w:t xml:space="preserve">确定和应对能够影响产品和服务的符合性以及增强顾客满意能力的风险和机遇； </w:t>
            </w:r>
          </w:p>
          <w:p>
            <w:pPr>
              <w:rPr>
                <w:color w:val="000000"/>
                <w:szCs w:val="21"/>
              </w:rPr>
            </w:pPr>
            <w:r>
              <w:rPr>
                <w:rFonts w:hint="eastAsia"/>
              </w:rPr>
              <w:t>☑</w:t>
            </w:r>
            <w:r>
              <w:rPr>
                <w:rFonts w:hint="eastAsia"/>
                <w:color w:val="000000"/>
                <w:szCs w:val="21"/>
              </w:rPr>
              <w:t xml:space="preserve">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t>☑以身作则 ☑建立机制 ☑法规宣传 ☑风险机遇的应对 ☑重视顾客反馈 ☑目标考核 □其他</w:t>
            </w:r>
          </w:p>
          <w:p>
            <w:pPr>
              <w:rPr>
                <w:rFonts w:hint="eastAsia"/>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质量方针</w:t>
            </w:r>
          </w:p>
        </w:tc>
        <w:tc>
          <w:tcPr>
            <w:tcW w:w="960" w:type="dxa"/>
            <w:vMerge w:val="restart"/>
          </w:tcPr>
          <w:p>
            <w:r>
              <w:t xml:space="preserve">Q </w:t>
            </w:r>
            <w:r>
              <w:rPr>
                <w:rFonts w:hint="eastAsia"/>
              </w:rPr>
              <w:t>5.2  </w:t>
            </w:r>
          </w:p>
        </w:tc>
        <w:tc>
          <w:tcPr>
            <w:tcW w:w="745" w:type="dxa"/>
          </w:tcPr>
          <w:p>
            <w:r>
              <w:rPr>
                <w:rFonts w:hint="eastAsia"/>
              </w:rPr>
              <w:t>文件名称</w:t>
            </w:r>
          </w:p>
        </w:tc>
        <w:tc>
          <w:tcPr>
            <w:tcW w:w="9259" w:type="dxa"/>
          </w:tcPr>
          <w:p>
            <w:r>
              <w:rPr>
                <w:rFonts w:hint="eastAsia"/>
              </w:rPr>
              <w:t>如：管理手册第5.2章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szCs w:val="21"/>
              </w:rPr>
              <w:t xml:space="preserve"> </w:t>
            </w:r>
            <w:r>
              <w:rPr>
                <w:rFonts w:hint="eastAsia"/>
              </w:rPr>
              <w:t>最高管理者制定了文件化的管理体系方针：</w:t>
            </w:r>
          </w:p>
          <w:p>
            <w:pPr>
              <w:rPr>
                <w:u w:val="single"/>
              </w:rPr>
            </w:pPr>
            <w:r>
              <w:rPr>
                <w:rFonts w:hint="eastAsia"/>
                <w:szCs w:val="18"/>
                <w:u w:val="single"/>
              </w:rPr>
              <w:t xml:space="preserve">   </w:t>
            </w:r>
            <w:r>
              <w:rPr>
                <w:rFonts w:hint="eastAsia"/>
                <w:b/>
                <w:u w:val="single"/>
              </w:rPr>
              <w:t>树立质量意识，运用系统管理，实施品牌战略，确保客户满意</w:t>
            </w:r>
            <w:r>
              <w:rPr>
                <w:rFonts w:hint="eastAsia"/>
                <w:szCs w:val="18"/>
                <w:u w:val="single"/>
              </w:rPr>
              <w:t>。</w:t>
            </w:r>
          </w:p>
          <w:p>
            <w:r>
              <w:rPr>
                <w:rFonts w:hint="eastAsia"/>
              </w:rPr>
              <w:t>☑</w:t>
            </w:r>
            <w:r>
              <w:t>适合于组织的宗旨和所处的环境</w:t>
            </w:r>
            <w:r>
              <w:rPr>
                <w:rFonts w:hint="eastAsia"/>
                <w:lang w:val="zh-CN" w:bidi="zh-CN"/>
              </w:rPr>
              <w:t>，</w:t>
            </w:r>
            <w:r>
              <w:rPr>
                <w:lang w:val="zh-CN" w:bidi="zh-CN"/>
              </w:rPr>
              <w:t>包括</w:t>
            </w:r>
            <w:r>
              <w:t>其活动、产品和服务的性质、规模</w:t>
            </w:r>
          </w:p>
          <w:p>
            <w:pPr>
              <w:rPr>
                <w:lang w:val="en-GB"/>
              </w:rPr>
            </w:pPr>
            <w:r>
              <w:rPr>
                <w:rFonts w:hint="eastAsia"/>
              </w:rPr>
              <w:t>☑</w:t>
            </w:r>
            <w:r>
              <w:t>为制定质量目标提供框架</w:t>
            </w:r>
            <w:r>
              <w:rPr>
                <w:rFonts w:hint="eastAsia"/>
                <w:lang w:val="en-GB"/>
              </w:rPr>
              <w:t>。</w:t>
            </w:r>
          </w:p>
          <w:p>
            <w:r>
              <w:rPr>
                <w:rFonts w:hint="eastAsia"/>
              </w:rPr>
              <w:t>☑包括持续改进质量管理体系的承诺</w:t>
            </w:r>
          </w:p>
          <w:p>
            <w:r>
              <w:rPr>
                <w:rFonts w:hint="eastAsia"/>
              </w:rPr>
              <w:t>☑</w:t>
            </w:r>
            <w:r>
              <w:t>包括履行其合规义务的承诺</w:t>
            </w:r>
          </w:p>
          <w:p>
            <w:r>
              <w:rPr>
                <w:rFonts w:hint="eastAsia"/>
              </w:rPr>
              <w:t>☑</w:t>
            </w:r>
            <w:r>
              <w:t>包括持续改进质量管理 体系以提升质量绩效的</w:t>
            </w:r>
            <w:r>
              <w:rPr>
                <w:lang w:val="zh-CN" w:bidi="zh-CN"/>
              </w:rPr>
              <w:t>承诺</w:t>
            </w:r>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ascii="Segoe UI Emoji" w:hAnsi="Segoe UI Emoji" w:cs="Segoe UI Emoji"/>
              </w:rPr>
              <w:t>☑</w:t>
            </w:r>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Merge w:val="restart"/>
          </w:tcPr>
          <w:p>
            <w:r>
              <w:rPr>
                <w:rFonts w:hint="eastAsia"/>
              </w:rPr>
              <w:t>组织的岗位、职责和权限</w:t>
            </w:r>
          </w:p>
        </w:tc>
        <w:tc>
          <w:tcPr>
            <w:tcW w:w="960" w:type="dxa"/>
            <w:vMerge w:val="restart"/>
          </w:tcPr>
          <w:p>
            <w:r>
              <w:t xml:space="preserve">Q </w:t>
            </w:r>
            <w:r>
              <w:rPr>
                <w:rFonts w:hint="eastAsia"/>
              </w:rPr>
              <w:t>5.3  </w:t>
            </w:r>
          </w:p>
        </w:tc>
        <w:tc>
          <w:tcPr>
            <w:tcW w:w="745" w:type="dxa"/>
          </w:tcPr>
          <w:p>
            <w:r>
              <w:rPr>
                <w:rFonts w:hint="eastAsia"/>
              </w:rPr>
              <w:t>文件名称</w:t>
            </w:r>
          </w:p>
        </w:tc>
        <w:tc>
          <w:tcPr>
            <w:tcW w:w="9259" w:type="dxa"/>
          </w:tcPr>
          <w:p>
            <w:r>
              <w:rPr>
                <w:rFonts w:hint="eastAsia"/>
              </w:rPr>
              <w:t>如：☑管理手册第5.3章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pPr>
                    <w:rPr>
                      <w:rFonts w:hint="eastAsia" w:eastAsia="宋体"/>
                      <w:lang w:val="en-US" w:eastAsia="zh-CN"/>
                    </w:rPr>
                  </w:pPr>
                  <w:r>
                    <w:rPr>
                      <w:rFonts w:hint="eastAsia"/>
                    </w:rPr>
                    <w:t>过程</w:t>
                  </w:r>
                  <w:r>
                    <w:rPr>
                      <w:rFonts w:hint="eastAsia"/>
                      <w:lang w:val="en-US" w:eastAsia="zh-CN"/>
                    </w:rPr>
                    <w:t>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检验过程</w:t>
                  </w:r>
                </w:p>
              </w:tc>
              <w:tc>
                <w:tcPr>
                  <w:tcW w:w="2261" w:type="dxa"/>
                </w:tcPr>
                <w:p>
                  <w:pPr>
                    <w:rPr>
                      <w:rFonts w:hint="default" w:eastAsia="宋体"/>
                      <w:lang w:val="en-US" w:eastAsia="zh-CN"/>
                    </w:rPr>
                  </w:pPr>
                  <w:r>
                    <w:rPr>
                      <w:rFonts w:hint="eastAsia"/>
                      <w:lang w:val="en-US" w:eastAsia="zh-CN"/>
                    </w:rPr>
                    <w:t>生产部</w:t>
                  </w:r>
                </w:p>
              </w:tc>
              <w:tc>
                <w:tcPr>
                  <w:tcW w:w="2261" w:type="dxa"/>
                </w:tcPr>
                <w:p>
                  <w:r>
                    <w:rPr>
                      <w:rFonts w:hint="eastAsia"/>
                    </w:rPr>
                    <w:t>人力资源管理过程</w:t>
                  </w:r>
                </w:p>
              </w:tc>
              <w:tc>
                <w:tcPr>
                  <w:tcW w:w="2261" w:type="dxa"/>
                </w:tcPr>
                <w:p>
                  <w:pPr>
                    <w:rPr>
                      <w:rFonts w:hint="eastAsia" w:eastAsia="宋体"/>
                      <w:lang w:eastAsia="zh-CN"/>
                    </w:rPr>
                  </w:pP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pPr>
                    <w:rPr>
                      <w:rFonts w:hint="eastAsia" w:eastAsia="宋体"/>
                      <w:lang w:eastAsia="zh-CN"/>
                    </w:rPr>
                  </w:pPr>
                  <w:r>
                    <w:rPr>
                      <w:rFonts w:hint="eastAsia"/>
                      <w:lang w:val="en-US" w:eastAsia="zh-CN"/>
                    </w:rPr>
                    <w:t>综合部</w:t>
                  </w:r>
                </w:p>
              </w:tc>
              <w:tc>
                <w:tcPr>
                  <w:tcW w:w="2261" w:type="dxa"/>
                </w:tcPr>
                <w:p>
                  <w:r>
                    <w:rPr>
                      <w:rFonts w:hint="eastAsia"/>
                    </w:rPr>
                    <w:t>生产/服务提供过程</w:t>
                  </w:r>
                </w:p>
              </w:tc>
              <w:tc>
                <w:tcPr>
                  <w:tcW w:w="2261" w:type="dxa"/>
                </w:tcPr>
                <w:p>
                  <w:pPr>
                    <w:rPr>
                      <w:rFonts w:hint="default" w:eastAsia="宋体"/>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pPr>
                    <w:rPr>
                      <w:rFonts w:hint="eastAsia" w:eastAsia="宋体"/>
                      <w:lang w:eastAsia="zh-CN"/>
                    </w:rPr>
                  </w:pPr>
                  <w:r>
                    <w:rPr>
                      <w:rFonts w:hint="eastAsia"/>
                      <w:lang w:val="en-US" w:eastAsia="zh-CN"/>
                    </w:rPr>
                    <w:t>综合部</w:t>
                  </w:r>
                </w:p>
              </w:tc>
              <w:tc>
                <w:tcPr>
                  <w:tcW w:w="2261" w:type="dxa"/>
                </w:tcPr>
                <w:p>
                  <w:r>
                    <w:rPr>
                      <w:rFonts w:hint="eastAsia"/>
                    </w:rPr>
                    <w:t>生产/服务放行过程</w:t>
                  </w:r>
                </w:p>
              </w:tc>
              <w:tc>
                <w:tcPr>
                  <w:tcW w:w="2261" w:type="dxa"/>
                </w:tcPr>
                <w:p>
                  <w:pPr>
                    <w:rPr>
                      <w:rFonts w:hint="eastAsia" w:eastAsia="宋体"/>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Pr>
              <w:pStyle w:val="2"/>
            </w:pPr>
          </w:p>
          <w:p>
            <w:r>
              <w:rPr>
                <w:rFonts w:hint="eastAsia"/>
              </w:rPr>
              <w:t>向最高管理者汇报，</w:t>
            </w:r>
            <w:r>
              <w:rPr>
                <w:rFonts w:hint="eastAsia"/>
              </w:rPr>
              <w:sym w:font="Wingdings" w:char="00FE"/>
            </w:r>
            <w:r>
              <w:rPr>
                <w:rFonts w:hint="eastAsia"/>
              </w:rPr>
              <w:t>管理者代表：</w:t>
            </w:r>
            <w:r>
              <w:rPr>
                <w:rFonts w:hint="eastAsia"/>
                <w:u w:val="single"/>
              </w:rPr>
              <w:t xml:space="preserve">  </w:t>
            </w:r>
            <w:r>
              <w:rPr>
                <w:rFonts w:hint="eastAsia"/>
                <w:u w:val="single"/>
                <w:lang w:val="en-US" w:eastAsia="zh-CN"/>
              </w:rPr>
              <w:t>周红英</w:t>
            </w:r>
            <w:r>
              <w:rPr>
                <w:rFonts w:hint="eastAsia" w:ascii="宋体" w:hAnsi="宋体" w:cs="Tahoma"/>
                <w:bCs/>
                <w:sz w:val="24"/>
                <w:szCs w:val="24"/>
                <w:u w:val="single"/>
              </w:rPr>
              <w:t xml:space="preserve">  </w:t>
            </w:r>
            <w:r>
              <w:rPr>
                <w:rFonts w:hint="eastAsia" w:ascii="宋体" w:hAnsi="宋体" w:cs="Tahoma"/>
                <w:bCs/>
                <w:sz w:val="24"/>
                <w:szCs w:val="24"/>
              </w:rPr>
              <w:t xml:space="preserve">  </w:t>
            </w:r>
            <w:r>
              <w:rPr>
                <w:rFonts w:hint="eastAsia"/>
              </w:rPr>
              <w:sym w:font="Wingdings" w:char="00A8"/>
            </w:r>
            <w:r>
              <w:rPr>
                <w:rFonts w:hint="eastAsia"/>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szCs w:val="21"/>
              </w:rPr>
              <w:t>应对风险和机遇的措施</w:t>
            </w:r>
          </w:p>
        </w:tc>
        <w:tc>
          <w:tcPr>
            <w:tcW w:w="960" w:type="dxa"/>
            <w:vMerge w:val="restart"/>
          </w:tcPr>
          <w:p>
            <w:r>
              <w:rPr>
                <w:szCs w:val="21"/>
              </w:rPr>
              <w:t xml:space="preserve">Q </w:t>
            </w:r>
            <w:r>
              <w:rPr>
                <w:rFonts w:hint="eastAsia"/>
                <w:szCs w:val="21"/>
              </w:rPr>
              <w:t>6.1  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w:t>
            </w:r>
            <w:r>
              <w:rPr>
                <w:rFonts w:hint="eastAsia"/>
                <w:szCs w:val="21"/>
              </w:rPr>
              <w:t>风险和机遇</w:t>
            </w:r>
            <w:r>
              <w:rPr>
                <w:rFonts w:hint="eastAsia"/>
              </w:rPr>
              <w:t>管制程序》、</w:t>
            </w:r>
            <w:r>
              <w:rPr>
                <w:rFonts w:hint="eastAsia"/>
              </w:rPr>
              <w:sym w:font="Wingdings" w:char="00FE"/>
            </w:r>
            <w:r>
              <w:rPr>
                <w:rFonts w:hint="eastAsia"/>
              </w:rPr>
              <w:t>手册第6.1条款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A8"/>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FE"/>
            </w:r>
            <w:r>
              <w:rPr>
                <w:rFonts w:hint="eastAsia"/>
              </w:rPr>
              <w:t>其他</w:t>
            </w:r>
          </w:p>
          <w:p/>
          <w:p>
            <w:r>
              <w:rPr>
                <w:rFonts w:hint="eastAsia"/>
              </w:rPr>
              <w:t xml:space="preserve">应对风险的措施类型包括： </w:t>
            </w:r>
          </w:p>
          <w:p>
            <w:r>
              <w:rPr>
                <w:rFonts w:hint="eastAsia"/>
              </w:rPr>
              <w:sym w:font="Wingdings" w:char="00FE"/>
            </w:r>
            <w:r>
              <w:rPr>
                <w:rFonts w:hint="eastAsia"/>
              </w:rPr>
              <w:t>规避风险</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8"/>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442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42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ascii="宋体" w:hAnsi="宋体" w:cs="宋体"/>
                      <w:color w:val="000000"/>
                      <w:sz w:val="18"/>
                      <w:szCs w:val="18"/>
                    </w:rPr>
                    <w:t>监管部门的监管力度的加大，如公司执行不规范，可能存在被查处的风险</w:t>
                  </w:r>
                </w:p>
              </w:tc>
              <w:tc>
                <w:tcPr>
                  <w:tcW w:w="4420" w:type="dxa"/>
                  <w:vAlign w:val="top"/>
                </w:tcPr>
                <w:p>
                  <w:pPr>
                    <w:jc w:val="left"/>
                    <w:rPr>
                      <w:rFonts w:hint="default" w:ascii="Times New Roman" w:hAnsi="Times New Roman" w:eastAsia="宋体" w:cs="Times New Roman"/>
                      <w:color w:val="auto"/>
                      <w:kern w:val="2"/>
                      <w:sz w:val="21"/>
                      <w:highlight w:val="none"/>
                      <w:vertAlign w:val="baseline"/>
                      <w:lang w:val="en-US" w:eastAsia="zh-CN" w:bidi="ar-SA"/>
                    </w:rPr>
                  </w:pPr>
                  <w:r>
                    <w:rPr>
                      <w:rFonts w:hint="eastAsia" w:ascii="宋体" w:hAnsi="宋体" w:cs="宋体"/>
                      <w:color w:val="000000"/>
                      <w:sz w:val="18"/>
                      <w:szCs w:val="18"/>
                    </w:rPr>
                    <w:t>各级部门严格按照公司的规章制度开展相关工作</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宋体" w:hAnsi="宋体" w:cs="宋体"/>
                      <w:color w:val="000000"/>
                      <w:sz w:val="18"/>
                      <w:szCs w:val="18"/>
                    </w:rPr>
                    <w:t>人员流动大，知识不稳定</w:t>
                  </w:r>
                </w:p>
              </w:tc>
              <w:tc>
                <w:tcPr>
                  <w:tcW w:w="442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ascii="宋体" w:hAnsi="宋体" w:cs="宋体"/>
                      <w:color w:val="000000"/>
                      <w:sz w:val="18"/>
                      <w:szCs w:val="18"/>
                    </w:rPr>
                    <w:t>人员招聘和培训</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42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auto"/>
                      <w:kern w:val="2"/>
                      <w:sz w:val="21"/>
                      <w:szCs w:val="24"/>
                      <w:highlight w:val="none"/>
                      <w:vertAlign w:val="baseline"/>
                      <w:lang w:val="en-US" w:eastAsia="zh-CN" w:bidi="ar-SA"/>
                    </w:rPr>
                  </w:pPr>
                </w:p>
              </w:tc>
              <w:tc>
                <w:tcPr>
                  <w:tcW w:w="442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sz w:val="24"/>
                      <w:lang w:val="en-US" w:eastAsia="zh-CN"/>
                    </w:rPr>
                  </w:pP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r>
          </w:tbl>
          <w:p/>
          <w:p>
            <w:r>
              <w:rPr>
                <w:rFonts w:hint="eastAsia"/>
              </w:rPr>
              <w:t xml:space="preserve">应对机遇的措施类型包括： </w:t>
            </w:r>
          </w:p>
          <w:p>
            <w:pPr>
              <w:ind w:firstLine="210" w:firstLineChars="100"/>
            </w:pPr>
            <w:r>
              <w:rPr>
                <w:rFonts w:hint="eastAsia"/>
              </w:rPr>
              <w:sym w:font="Wingdings" w:char="00A8"/>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FE"/>
            </w:r>
            <w:r>
              <w:rPr>
                <w:rFonts w:hint="eastAsia"/>
              </w:rPr>
              <w:t xml:space="preserve">建立合作伙伴关系  </w:t>
            </w:r>
          </w:p>
          <w:p>
            <w:pPr>
              <w:ind w:firstLine="210" w:firstLineChars="100"/>
            </w:pP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w:t>
            </w:r>
            <w:r>
              <w:t>4</w:t>
            </w:r>
            <w:r>
              <w:rPr>
                <w:rFonts w:hint="eastAsia"/>
              </w:rPr>
              <w:t>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298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jc w:val="center"/>
                  </w:pPr>
                  <w:r>
                    <w:rPr>
                      <w:rFonts w:hint="eastAsia"/>
                    </w:rPr>
                    <w:t>主要的机遇描述</w:t>
                  </w:r>
                </w:p>
              </w:tc>
              <w:tc>
                <w:tcPr>
                  <w:tcW w:w="2982" w:type="dxa"/>
                </w:tcPr>
                <w:p>
                  <w:pPr>
                    <w:jc w:val="center"/>
                    <w:rPr>
                      <w:szCs w:val="24"/>
                    </w:rPr>
                  </w:pPr>
                  <w:r>
                    <w:rPr>
                      <w:rFonts w:hint="eastAsia"/>
                    </w:rPr>
                    <w:t>应对措施</w:t>
                  </w:r>
                </w:p>
              </w:tc>
              <w:tc>
                <w:tcPr>
                  <w:tcW w:w="1717" w:type="dxa"/>
                </w:tcPr>
                <w:p>
                  <w:pPr>
                    <w:jc w:val="cente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r>
                    <w:rPr>
                      <w:rFonts w:hint="eastAsia" w:ascii="宋体" w:hAnsi="宋体" w:cs="宋体"/>
                      <w:color w:val="000000"/>
                      <w:sz w:val="18"/>
                      <w:szCs w:val="18"/>
                    </w:rPr>
                    <w:t>产品结构调整，给公司带来潜在的客户</w:t>
                  </w:r>
                </w:p>
              </w:tc>
              <w:tc>
                <w:tcPr>
                  <w:tcW w:w="2982" w:type="dxa"/>
                </w:tcPr>
                <w:p>
                  <w:r>
                    <w:rPr>
                      <w:rFonts w:hint="eastAsia"/>
                    </w:rPr>
                    <w:t>加强市场开发</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rPr>
                      <w:szCs w:val="24"/>
                    </w:rPr>
                  </w:pPr>
                  <w:r>
                    <w:rPr>
                      <w:rFonts w:hint="eastAsia" w:ascii="宋体" w:hAnsi="宋体" w:cs="宋体"/>
                      <w:color w:val="000000"/>
                      <w:sz w:val="18"/>
                      <w:szCs w:val="18"/>
                    </w:rPr>
                    <w:t>国家政策的改变、大家的环境安全意识逐步提升</w:t>
                  </w:r>
                </w:p>
              </w:tc>
              <w:tc>
                <w:tcPr>
                  <w:tcW w:w="2982" w:type="dxa"/>
                </w:tcPr>
                <w:p>
                  <w:r>
                    <w:rPr>
                      <w:rFonts w:hint="eastAsia"/>
                    </w:rPr>
                    <w:t>加强宣传，推出适用的产品</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rPr>
                      <w:rFonts w:ascii="宋体" w:hAnsi="宋体" w:cs="宋体"/>
                      <w:color w:val="000000"/>
                      <w:sz w:val="18"/>
                      <w:szCs w:val="18"/>
                    </w:rPr>
                  </w:pPr>
                  <w:r>
                    <w:rPr>
                      <w:rFonts w:hint="eastAsia" w:ascii="宋体" w:hAnsi="宋体" w:cs="宋体"/>
                      <w:color w:val="000000"/>
                      <w:sz w:val="18"/>
                      <w:szCs w:val="18"/>
                    </w:rPr>
                    <w:t>行业生产环境的变化，给公司带来新的发展机遇</w:t>
                  </w:r>
                </w:p>
              </w:tc>
              <w:tc>
                <w:tcPr>
                  <w:tcW w:w="2982" w:type="dxa"/>
                </w:tcPr>
                <w:p>
                  <w:pPr>
                    <w:rPr>
                      <w:rFonts w:hint="default" w:eastAsia="宋体"/>
                      <w:lang w:val="en-US" w:eastAsia="zh-CN"/>
                    </w:rPr>
                  </w:pPr>
                  <w:r>
                    <w:rPr>
                      <w:rFonts w:hint="eastAsia"/>
                    </w:rPr>
                    <w:t>加强</w:t>
                  </w:r>
                  <w:r>
                    <w:rPr>
                      <w:rFonts w:hint="eastAsia"/>
                      <w:lang w:val="en-US" w:eastAsia="zh-CN"/>
                    </w:rPr>
                    <w:t>新客户引进</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rPr>
                      <w:rFonts w:ascii="宋体" w:hAnsi="宋体" w:cs="宋体"/>
                      <w:color w:val="000000"/>
                      <w:sz w:val="18"/>
                      <w:szCs w:val="18"/>
                    </w:rPr>
                  </w:pPr>
                  <w:r>
                    <w:rPr>
                      <w:rFonts w:hint="eastAsia" w:ascii="宋体" w:hAnsi="宋体" w:cs="宋体"/>
                      <w:color w:val="000000"/>
                      <w:sz w:val="18"/>
                      <w:szCs w:val="18"/>
                    </w:rPr>
                    <w:t>购置的设备精度和性能均处领先水平，维护保养好</w:t>
                  </w:r>
                </w:p>
              </w:tc>
              <w:tc>
                <w:tcPr>
                  <w:tcW w:w="2982" w:type="dxa"/>
                </w:tcPr>
                <w:p>
                  <w:r>
                    <w:rPr>
                      <w:rFonts w:hint="eastAsia"/>
                    </w:rPr>
                    <w:t>提高产品质量，保持良好声誉</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bl>
          <w:p/>
          <w:p>
            <w:r>
              <w:rPr>
                <w:rFonts w:hint="eastAsia"/>
              </w:rPr>
              <w:t>组织质量管理体系范围内的潜在紧急情况，如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szCs w:val="21"/>
              </w:rPr>
              <w:t>质量目标</w:t>
            </w:r>
          </w:p>
        </w:tc>
        <w:tc>
          <w:tcPr>
            <w:tcW w:w="960" w:type="dxa"/>
            <w:vMerge w:val="restart"/>
          </w:tcPr>
          <w:p>
            <w:r>
              <w:rPr>
                <w:szCs w:val="21"/>
              </w:rPr>
              <w:t xml:space="preserve">Q </w:t>
            </w:r>
            <w:r>
              <w:rPr>
                <w:rFonts w:hint="eastAsia"/>
                <w:szCs w:val="21"/>
              </w:rPr>
              <w:t>6.2 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szCs w:val="21"/>
              </w:rPr>
              <w:t>质量目标</w:t>
            </w:r>
            <w:r>
              <w:rPr>
                <w:rFonts w:hint="eastAsia"/>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7"/>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695"/>
              <w:gridCol w:w="355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shd w:val="clear" w:color="auto" w:fill="auto"/>
                  <w:vAlign w:val="center"/>
                </w:tcPr>
                <w:p>
                  <w:pPr>
                    <w:jc w:val="center"/>
                    <w:rPr>
                      <w:rFonts w:ascii="宋体" w:hAnsi="宋体"/>
                      <w:szCs w:val="24"/>
                    </w:rPr>
                  </w:pPr>
                  <w:r>
                    <w:rPr>
                      <w:rFonts w:hint="eastAsia" w:ascii="宋体" w:hAnsi="宋体"/>
                      <w:szCs w:val="24"/>
                    </w:rPr>
                    <w:t>质量目标</w:t>
                  </w:r>
                </w:p>
              </w:tc>
              <w:tc>
                <w:tcPr>
                  <w:tcW w:w="695" w:type="dxa"/>
                  <w:shd w:val="clear" w:color="auto" w:fill="auto"/>
                  <w:vAlign w:val="center"/>
                </w:tcPr>
                <w:p>
                  <w:pPr>
                    <w:jc w:val="center"/>
                    <w:rPr>
                      <w:rFonts w:ascii="宋体" w:hAnsi="宋体"/>
                      <w:szCs w:val="24"/>
                    </w:rPr>
                  </w:pPr>
                  <w:r>
                    <w:rPr>
                      <w:rFonts w:hint="eastAsia" w:ascii="宋体" w:hAnsi="宋体"/>
                      <w:szCs w:val="24"/>
                    </w:rPr>
                    <w:t>频次</w:t>
                  </w:r>
                </w:p>
              </w:tc>
              <w:tc>
                <w:tcPr>
                  <w:tcW w:w="3557" w:type="dxa"/>
                  <w:shd w:val="clear" w:color="auto" w:fill="auto"/>
                  <w:vAlign w:val="center"/>
                </w:tcPr>
                <w:p>
                  <w:pPr>
                    <w:jc w:val="center"/>
                    <w:rPr>
                      <w:rFonts w:ascii="宋体" w:hAnsi="宋体"/>
                      <w:szCs w:val="24"/>
                    </w:rPr>
                  </w:pPr>
                  <w:r>
                    <w:rPr>
                      <w:rFonts w:hint="eastAsia" w:ascii="宋体" w:hAnsi="宋体"/>
                      <w:szCs w:val="24"/>
                    </w:rPr>
                    <w:t>计算方法</w:t>
                  </w:r>
                </w:p>
              </w:tc>
              <w:tc>
                <w:tcPr>
                  <w:tcW w:w="1560" w:type="dxa"/>
                  <w:shd w:val="clear" w:color="auto" w:fill="auto"/>
                  <w:vAlign w:val="center"/>
                </w:tcPr>
                <w:p>
                  <w:pPr>
                    <w:jc w:val="cente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shd w:val="clear" w:color="auto" w:fill="auto"/>
                  <w:vAlign w:val="center"/>
                </w:tcPr>
                <w:p>
                  <w:pPr>
                    <w:spacing w:line="360" w:lineRule="exact"/>
                    <w:rPr>
                      <w:szCs w:val="21"/>
                    </w:rPr>
                  </w:pPr>
                  <w:r>
                    <w:rPr>
                      <w:rFonts w:hint="eastAsia" w:ascii="宋体" w:hAnsi="宋体"/>
                      <w:szCs w:val="21"/>
                    </w:rPr>
                    <w:t>产品一次交验合格率100%</w:t>
                  </w:r>
                </w:p>
              </w:tc>
              <w:tc>
                <w:tcPr>
                  <w:tcW w:w="695" w:type="dxa"/>
                  <w:shd w:val="clear" w:color="auto" w:fill="auto"/>
                  <w:vAlign w:val="center"/>
                </w:tcPr>
                <w:p>
                  <w:pPr>
                    <w:widowControl/>
                    <w:spacing w:before="40"/>
                    <w:rPr>
                      <w:szCs w:val="21"/>
                    </w:rPr>
                  </w:pPr>
                  <w:r>
                    <w:rPr>
                      <w:rFonts w:hint="eastAsia" w:ascii="宋体" w:hAnsi="宋体"/>
                      <w:spacing w:val="-20"/>
                      <w:szCs w:val="21"/>
                    </w:rPr>
                    <w:t>季度</w:t>
                  </w:r>
                </w:p>
              </w:tc>
              <w:tc>
                <w:tcPr>
                  <w:tcW w:w="3557" w:type="dxa"/>
                  <w:shd w:val="clear" w:color="auto" w:fill="auto"/>
                  <w:vAlign w:val="center"/>
                </w:tcPr>
                <w:p>
                  <w:pPr>
                    <w:spacing w:line="360" w:lineRule="exact"/>
                    <w:rPr>
                      <w:szCs w:val="21"/>
                    </w:rPr>
                  </w:pPr>
                  <w:r>
                    <w:rPr>
                      <w:rFonts w:hint="eastAsia"/>
                      <w:spacing w:val="-6"/>
                      <w:szCs w:val="21"/>
                    </w:rPr>
                    <w:t>交付数/合格数×100%</w:t>
                  </w:r>
                </w:p>
              </w:tc>
              <w:tc>
                <w:tcPr>
                  <w:tcW w:w="1560" w:type="dxa"/>
                  <w:shd w:val="clear" w:color="auto" w:fill="auto"/>
                  <w:vAlign w:val="center"/>
                </w:tcPr>
                <w:p>
                  <w:pPr>
                    <w:widowControl/>
                    <w:spacing w:before="40"/>
                    <w:jc w:val="center"/>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shd w:val="clear" w:color="auto" w:fill="auto"/>
                  <w:vAlign w:val="center"/>
                </w:tcPr>
                <w:p>
                  <w:pPr>
                    <w:spacing w:line="360" w:lineRule="exact"/>
                    <w:rPr>
                      <w:szCs w:val="21"/>
                    </w:rPr>
                  </w:pPr>
                  <w:r>
                    <w:rPr>
                      <w:rFonts w:hint="eastAsia" w:ascii="宋体" w:hAnsi="宋体"/>
                      <w:szCs w:val="21"/>
                    </w:rPr>
                    <w:t>顾客满意度≥90</w:t>
                  </w:r>
                  <w:r>
                    <w:rPr>
                      <w:rFonts w:hint="eastAsia" w:ascii="宋体" w:hAnsi="宋体"/>
                      <w:bCs/>
                      <w:szCs w:val="21"/>
                    </w:rPr>
                    <w:t>分</w:t>
                  </w:r>
                </w:p>
              </w:tc>
              <w:tc>
                <w:tcPr>
                  <w:tcW w:w="695" w:type="dxa"/>
                  <w:shd w:val="clear" w:color="auto" w:fill="auto"/>
                  <w:vAlign w:val="center"/>
                </w:tcPr>
                <w:p>
                  <w:pPr>
                    <w:widowControl/>
                    <w:spacing w:before="40"/>
                    <w:rPr>
                      <w:szCs w:val="21"/>
                    </w:rPr>
                  </w:pPr>
                  <w:r>
                    <w:rPr>
                      <w:rFonts w:hint="eastAsia" w:ascii="宋体" w:hAnsi="宋体"/>
                      <w:spacing w:val="-20"/>
                      <w:szCs w:val="21"/>
                    </w:rPr>
                    <w:t>年度</w:t>
                  </w:r>
                </w:p>
              </w:tc>
              <w:tc>
                <w:tcPr>
                  <w:tcW w:w="3557" w:type="dxa"/>
                  <w:shd w:val="clear" w:color="auto" w:fill="auto"/>
                  <w:vAlign w:val="center"/>
                </w:tcPr>
                <w:p>
                  <w:pPr>
                    <w:spacing w:line="360" w:lineRule="exact"/>
                    <w:rPr>
                      <w:szCs w:val="21"/>
                    </w:rPr>
                  </w:pPr>
                  <w:r>
                    <w:rPr>
                      <w:rFonts w:hint="eastAsia"/>
                      <w:spacing w:val="-6"/>
                      <w:szCs w:val="21"/>
                    </w:rPr>
                    <w:t>统计各项得分之和</w:t>
                  </w:r>
                </w:p>
              </w:tc>
              <w:tc>
                <w:tcPr>
                  <w:tcW w:w="1560" w:type="dxa"/>
                  <w:shd w:val="clear" w:color="auto" w:fill="auto"/>
                  <w:vAlign w:val="center"/>
                </w:tcPr>
                <w:p>
                  <w:pPr>
                    <w:widowControl/>
                    <w:spacing w:before="40"/>
                    <w:jc w:val="center"/>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shd w:val="clear" w:color="auto" w:fill="auto"/>
                  <w:vAlign w:val="center"/>
                </w:tcPr>
                <w:p>
                  <w:pPr>
                    <w:spacing w:line="360" w:lineRule="exact"/>
                    <w:rPr>
                      <w:szCs w:val="21"/>
                    </w:rPr>
                  </w:pPr>
                  <w:r>
                    <w:rPr>
                      <w:rFonts w:hint="eastAsia" w:ascii="宋体" w:hAnsi="宋体"/>
                    </w:rPr>
                    <w:t>培训计划完成率</w:t>
                  </w:r>
                  <w:r>
                    <w:rPr>
                      <w:rFonts w:hint="eastAsia" w:ascii="宋体" w:hAnsi="宋体"/>
                      <w:szCs w:val="21"/>
                    </w:rPr>
                    <w:t>100％</w:t>
                  </w:r>
                </w:p>
              </w:tc>
              <w:tc>
                <w:tcPr>
                  <w:tcW w:w="695" w:type="dxa"/>
                  <w:shd w:val="clear" w:color="auto" w:fill="auto"/>
                  <w:vAlign w:val="center"/>
                </w:tcPr>
                <w:p>
                  <w:pPr>
                    <w:widowControl/>
                    <w:spacing w:before="40"/>
                    <w:rPr>
                      <w:szCs w:val="21"/>
                    </w:rPr>
                  </w:pPr>
                  <w:r>
                    <w:rPr>
                      <w:rFonts w:hint="eastAsia" w:ascii="宋体" w:hAnsi="宋体"/>
                      <w:spacing w:val="-20"/>
                      <w:szCs w:val="21"/>
                    </w:rPr>
                    <w:t>季度</w:t>
                  </w:r>
                </w:p>
              </w:tc>
              <w:tc>
                <w:tcPr>
                  <w:tcW w:w="3557" w:type="dxa"/>
                  <w:shd w:val="clear" w:color="auto" w:fill="auto"/>
                  <w:vAlign w:val="center"/>
                </w:tcPr>
                <w:p>
                  <w:pPr>
                    <w:spacing w:line="360" w:lineRule="exact"/>
                    <w:rPr>
                      <w:szCs w:val="21"/>
                    </w:rPr>
                  </w:pPr>
                  <w:r>
                    <w:rPr>
                      <w:rFonts w:hint="eastAsia"/>
                      <w:spacing w:val="-6"/>
                      <w:szCs w:val="21"/>
                    </w:rPr>
                    <w:t>培训数/计划数×100%</w:t>
                  </w:r>
                </w:p>
              </w:tc>
              <w:tc>
                <w:tcPr>
                  <w:tcW w:w="1560" w:type="dxa"/>
                  <w:shd w:val="clear" w:color="auto" w:fill="auto"/>
                  <w:vAlign w:val="center"/>
                </w:tcPr>
                <w:p>
                  <w:pPr>
                    <w:widowControl/>
                    <w:spacing w:before="40"/>
                    <w:jc w:val="center"/>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shd w:val="clear" w:color="auto" w:fill="auto"/>
                  <w:vAlign w:val="center"/>
                </w:tcPr>
                <w:p>
                  <w:pPr>
                    <w:spacing w:line="360" w:lineRule="exact"/>
                    <w:rPr>
                      <w:szCs w:val="21"/>
                    </w:rPr>
                  </w:pPr>
                  <w:r>
                    <w:rPr>
                      <w:rFonts w:hint="eastAsia" w:ascii="宋体" w:hAnsi="宋体"/>
                      <w:bCs/>
                      <w:snapToGrid w:val="0"/>
                      <w:szCs w:val="21"/>
                    </w:rPr>
                    <w:t>采购产品一次交验合格率≥98%</w:t>
                  </w:r>
                </w:p>
              </w:tc>
              <w:tc>
                <w:tcPr>
                  <w:tcW w:w="695" w:type="dxa"/>
                  <w:shd w:val="clear" w:color="auto" w:fill="auto"/>
                  <w:vAlign w:val="center"/>
                </w:tcPr>
                <w:p>
                  <w:pPr>
                    <w:widowControl/>
                    <w:spacing w:before="40"/>
                    <w:rPr>
                      <w:szCs w:val="21"/>
                    </w:rPr>
                  </w:pPr>
                  <w:r>
                    <w:rPr>
                      <w:rFonts w:hint="eastAsia" w:ascii="宋体" w:hAnsi="宋体"/>
                      <w:spacing w:val="-20"/>
                      <w:szCs w:val="21"/>
                    </w:rPr>
                    <w:t>季度</w:t>
                  </w:r>
                </w:p>
              </w:tc>
              <w:tc>
                <w:tcPr>
                  <w:tcW w:w="3557" w:type="dxa"/>
                  <w:shd w:val="clear" w:color="auto" w:fill="auto"/>
                  <w:vAlign w:val="center"/>
                </w:tcPr>
                <w:p>
                  <w:pPr>
                    <w:spacing w:line="360" w:lineRule="exact"/>
                    <w:rPr>
                      <w:szCs w:val="21"/>
                    </w:rPr>
                  </w:pPr>
                  <w:r>
                    <w:rPr>
                      <w:rFonts w:hint="eastAsia" w:ascii="宋体" w:hAnsi="宋体"/>
                      <w:bCs/>
                      <w:snapToGrid w:val="0"/>
                      <w:szCs w:val="21"/>
                    </w:rPr>
                    <w:t>合格数/采购数×100%</w:t>
                  </w:r>
                </w:p>
              </w:tc>
              <w:tc>
                <w:tcPr>
                  <w:tcW w:w="1560" w:type="dxa"/>
                  <w:shd w:val="clear" w:color="auto" w:fill="auto"/>
                  <w:vAlign w:val="center"/>
                </w:tcPr>
                <w:p>
                  <w:pPr>
                    <w:widowControl/>
                    <w:spacing w:before="40"/>
                    <w:jc w:val="center"/>
                  </w:pPr>
                  <w:r>
                    <w:rPr>
                      <w:rFonts w:hint="eastAsia"/>
                    </w:rPr>
                    <w:t>完成</w:t>
                  </w:r>
                </w:p>
              </w:tc>
            </w:tr>
          </w:tbl>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160" w:type="dxa"/>
            <w:vMerge w:val="restart"/>
          </w:tcPr>
          <w:p>
            <w:r>
              <w:rPr>
                <w:rFonts w:hint="eastAsia"/>
              </w:rPr>
              <w:t>变更的策划</w:t>
            </w:r>
          </w:p>
        </w:tc>
        <w:tc>
          <w:tcPr>
            <w:tcW w:w="960" w:type="dxa"/>
            <w:vMerge w:val="restart"/>
          </w:tcPr>
          <w:p>
            <w:r>
              <w:rPr>
                <w:rFonts w:hint="eastAsia"/>
              </w:rPr>
              <w:t>Q</w:t>
            </w:r>
            <w:r>
              <w:t xml:space="preserve"> 6.</w:t>
            </w:r>
            <w:r>
              <w:rPr>
                <w:rFonts w:hint="eastAsia"/>
              </w:rPr>
              <w:t>3</w:t>
            </w:r>
          </w:p>
        </w:tc>
        <w:tc>
          <w:tcPr>
            <w:tcW w:w="745" w:type="dxa"/>
          </w:tcPr>
          <w:p>
            <w:r>
              <w:rPr>
                <w:rFonts w:hint="eastAsia"/>
              </w:rPr>
              <w:t>文件名称</w:t>
            </w:r>
          </w:p>
        </w:tc>
        <w:tc>
          <w:tcPr>
            <w:tcW w:w="9259" w:type="dxa"/>
          </w:tcPr>
          <w:p>
            <w:r>
              <w:rPr>
                <w:rFonts w:hint="eastAsia"/>
              </w:rPr>
              <w:t>如：手册第6.3条款、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 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☑无变更</w:t>
            </w:r>
          </w:p>
          <w:tbl>
            <w:tblPr>
              <w:tblStyle w:val="8"/>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294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r>
                    <w:rPr>
                      <w:rFonts w:hint="eastAsia"/>
                    </w:rPr>
                    <w:t>体系变更的内容说明</w:t>
                  </w:r>
                </w:p>
              </w:tc>
              <w:tc>
                <w:tcPr>
                  <w:tcW w:w="2942" w:type="dxa"/>
                </w:tcPr>
                <w:p>
                  <w:r>
                    <w:rPr>
                      <w:rFonts w:hint="eastAsia"/>
                    </w:rPr>
                    <w:t>无</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vAlign w:val="center"/>
                </w:tcPr>
                <w:p>
                  <w:pPr>
                    <w:jc w:val="center"/>
                  </w:pPr>
                  <w:r>
                    <w:rPr>
                      <w:rFonts w:hint="eastAsia"/>
                    </w:rPr>
                    <w:t>评价内容</w:t>
                  </w:r>
                </w:p>
              </w:tc>
              <w:tc>
                <w:tcPr>
                  <w:tcW w:w="2942" w:type="dxa"/>
                  <w:vAlign w:val="center"/>
                </w:tcPr>
                <w:p>
                  <w:pPr>
                    <w:jc w:val="center"/>
                  </w:pPr>
                  <w:r>
                    <w:rPr>
                      <w:rFonts w:hint="eastAsia"/>
                    </w:rPr>
                    <w:t>评价具体描述</w:t>
                  </w:r>
                </w:p>
              </w:tc>
              <w:tc>
                <w:tcPr>
                  <w:tcW w:w="3015" w:type="dxa"/>
                  <w:vAlign w:val="center"/>
                </w:tcPr>
                <w:p>
                  <w:pPr>
                    <w:jc w:val="center"/>
                  </w:pPr>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r>
                    <w:rPr>
                      <w:rFonts w:hint="eastAsia"/>
                    </w:rPr>
                    <w:t>变更目的</w:t>
                  </w:r>
                </w:p>
              </w:tc>
              <w:tc>
                <w:tcPr>
                  <w:tcW w:w="2942" w:type="dxa"/>
                </w:tcPr>
                <w:p>
                  <w:r>
                    <w:rPr>
                      <w:rFonts w:hint="eastAsia"/>
                    </w:rPr>
                    <w:t>不适用</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r>
                    <w:rPr>
                      <w:rFonts w:hint="eastAsia"/>
                    </w:rPr>
                    <w:t>其潜在后果</w:t>
                  </w:r>
                </w:p>
              </w:tc>
              <w:tc>
                <w:tcPr>
                  <w:tcW w:w="2942" w:type="dxa"/>
                </w:tcPr>
                <w:p>
                  <w:r>
                    <w:rPr>
                      <w:rFonts w:hint="eastAsia"/>
                    </w:rPr>
                    <w:t>不适用</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r>
                    <w:rPr>
                      <w:rFonts w:hint="eastAsia"/>
                    </w:rPr>
                    <w:t>质量管理体系的完整性</w:t>
                  </w:r>
                </w:p>
              </w:tc>
              <w:tc>
                <w:tcPr>
                  <w:tcW w:w="2942" w:type="dxa"/>
                </w:tcPr>
                <w:p>
                  <w:r>
                    <w:rPr>
                      <w:rFonts w:hint="eastAsia"/>
                    </w:rPr>
                    <w:t>不适用</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r>
                    <w:rPr>
                      <w:rFonts w:hint="eastAsia"/>
                    </w:rPr>
                    <w:t>资源的可获得性</w:t>
                  </w:r>
                </w:p>
              </w:tc>
              <w:tc>
                <w:tcPr>
                  <w:tcW w:w="2942" w:type="dxa"/>
                </w:tcPr>
                <w:p>
                  <w:r>
                    <w:rPr>
                      <w:rFonts w:hint="eastAsia"/>
                    </w:rPr>
                    <w:t>不适用</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r>
                    <w:rPr>
                      <w:rFonts w:hint="eastAsia"/>
                    </w:rPr>
                    <w:t>职责和权限的分配或再分配</w:t>
                  </w:r>
                </w:p>
              </w:tc>
              <w:tc>
                <w:tcPr>
                  <w:tcW w:w="2942" w:type="dxa"/>
                </w:tcPr>
                <w:p>
                  <w:r>
                    <w:rPr>
                      <w:rFonts w:hint="eastAsia"/>
                    </w:rPr>
                    <w:t>不适用</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pStyle w:val="2"/>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60" w:type="dxa"/>
            <w:vMerge w:val="restart"/>
          </w:tcPr>
          <w:p>
            <w:r>
              <w:rPr>
                <w:rFonts w:hint="eastAsia"/>
              </w:rPr>
              <w:t>资源（总则）</w:t>
            </w:r>
          </w:p>
        </w:tc>
        <w:tc>
          <w:tcPr>
            <w:tcW w:w="960" w:type="dxa"/>
            <w:vMerge w:val="restart"/>
          </w:tcPr>
          <w:p>
            <w:r>
              <w:rPr>
                <w:szCs w:val="21"/>
              </w:rPr>
              <w:t xml:space="preserve">Q </w:t>
            </w:r>
            <w:r>
              <w:rPr>
                <w:rFonts w:hint="eastAsia"/>
                <w:szCs w:val="21"/>
              </w:rPr>
              <w:t>7.1.1 </w:t>
            </w:r>
          </w:p>
        </w:tc>
        <w:tc>
          <w:tcPr>
            <w:tcW w:w="745" w:type="dxa"/>
          </w:tcPr>
          <w:p>
            <w:r>
              <w:rPr>
                <w:rFonts w:hint="eastAsia"/>
              </w:rPr>
              <w:t>文件名称</w:t>
            </w:r>
          </w:p>
        </w:tc>
        <w:tc>
          <w:tcPr>
            <w:tcW w:w="9259" w:type="dxa"/>
          </w:tcPr>
          <w:p>
            <w:r>
              <w:rPr>
                <w:rFonts w:hint="eastAsia"/>
              </w:rPr>
              <w:t>如：手册第7.1条款、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szCs w:val="21"/>
              </w:rPr>
              <w:t xml:space="preserve">和最高管理层确定并提供所需的资源，以建立、实施、保持和持续改进质量管理体系。 </w:t>
            </w:r>
          </w:p>
          <w:p>
            <w:pPr>
              <w:tabs>
                <w:tab w:val="left" w:pos="312"/>
              </w:tabs>
              <w:rPr>
                <w:szCs w:val="21"/>
              </w:rPr>
            </w:pPr>
          </w:p>
          <w:p>
            <w:pPr>
              <w:tabs>
                <w:tab w:val="left" w:pos="312"/>
              </w:tabs>
              <w:rPr>
                <w:color w:val="FF0000"/>
              </w:rPr>
            </w:pPr>
            <w:r>
              <w:rPr>
                <w:rFonts w:hint="eastAsia"/>
                <w:szCs w:val="21"/>
              </w:rPr>
              <w:t>现有内部资源的能力；</w:t>
            </w:r>
            <w:r>
              <w:rPr>
                <w:rFonts w:hint="eastAsia"/>
                <w:color w:val="auto"/>
              </w:rPr>
              <w:t>建筑面积</w:t>
            </w:r>
            <w:r>
              <w:rPr>
                <w:rFonts w:hint="eastAsia"/>
                <w:color w:val="auto"/>
                <w:u w:val="single"/>
              </w:rPr>
              <w:t xml:space="preserve"> </w:t>
            </w:r>
            <w:r>
              <w:rPr>
                <w:rFonts w:hint="eastAsia"/>
                <w:color w:val="auto"/>
                <w:u w:val="single"/>
                <w:lang w:val="en-US" w:eastAsia="zh-CN"/>
              </w:rPr>
              <w:t>50</w:t>
            </w:r>
            <w:r>
              <w:rPr>
                <w:rFonts w:hint="eastAsia"/>
                <w:color w:val="auto"/>
                <w:u w:val="single"/>
              </w:rPr>
              <w:t xml:space="preserve">00 </w:t>
            </w:r>
            <w:r>
              <w:rPr>
                <w:rFonts w:hint="eastAsia"/>
                <w:color w:val="auto"/>
              </w:rPr>
              <w:t>平方米；</w:t>
            </w:r>
            <w:r>
              <w:rPr>
                <w:rFonts w:hint="eastAsia"/>
              </w:rPr>
              <w:t>生产车间</w:t>
            </w:r>
            <w:r>
              <w:rPr>
                <w:rFonts w:hint="eastAsia"/>
                <w:u w:val="single"/>
              </w:rPr>
              <w:t xml:space="preserve"> 1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color w:val="FF0000"/>
              </w:rPr>
              <w:t>。</w:t>
            </w:r>
          </w:p>
          <w:p>
            <w:pPr>
              <w:pStyle w:val="2"/>
            </w:pPr>
          </w:p>
          <w:p>
            <w:pPr>
              <w:rPr>
                <w:u w:val="single"/>
              </w:rPr>
            </w:pPr>
            <w:r>
              <w:rPr>
                <w:rFonts w:hint="eastAsia"/>
              </w:rPr>
              <w:t>主要生产设备有：</w:t>
            </w:r>
            <w:r>
              <w:rPr>
                <w:rFonts w:hint="eastAsia"/>
                <w:u w:val="single"/>
              </w:rPr>
              <w:t xml:space="preserve">  行车、卷板机、交流电焊机、</w:t>
            </w:r>
            <w:r>
              <w:rPr>
                <w:rFonts w:hint="eastAsia" w:ascii="宋体" w:hAnsi="宋体"/>
                <w:szCs w:val="21"/>
                <w:u w:val="single"/>
              </w:rPr>
              <w:t>台式砂轮机、逆变式空气等离子弧切割机、液压板料折弯机</w:t>
            </w:r>
          </w:p>
          <w:p>
            <w:r>
              <w:rPr>
                <w:rFonts w:hint="eastAsia"/>
              </w:rPr>
              <w:t>特种设备：</w:t>
            </w:r>
            <w:r>
              <w:rPr>
                <w:rFonts w:hint="eastAsia"/>
              </w:rPr>
              <w:sym w:font="Wingdings" w:char="00A8"/>
            </w:r>
            <w:r>
              <w:rPr>
                <w:rFonts w:hint="eastAsia"/>
              </w:rPr>
              <w:t xml:space="preserve">叉车 </w:t>
            </w:r>
            <w:r>
              <w:rPr>
                <w:rFonts w:hint="eastAsia"/>
              </w:rPr>
              <w:sym w:font="Wingdings" w:char="00FE"/>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pStyle w:val="2"/>
              <w:rPr>
                <w:u w:val="single"/>
              </w:rPr>
            </w:pPr>
            <w:r>
              <w:rPr>
                <w:rFonts w:hint="eastAsia"/>
              </w:rPr>
              <w:t>计量器具：</w:t>
            </w:r>
            <w:r>
              <w:rPr>
                <w:rFonts w:hint="eastAsia"/>
                <w:u w:val="single"/>
              </w:rPr>
              <w:t>钢卷尺、游标卡尺（0-</w:t>
            </w:r>
            <w:r>
              <w:rPr>
                <w:u w:val="single"/>
              </w:rPr>
              <w:t>150mm</w:t>
            </w:r>
            <w:r>
              <w:rPr>
                <w:rFonts w:hint="eastAsia"/>
                <w:u w:val="single"/>
              </w:rPr>
              <w:t xml:space="preserve">） </w:t>
            </w:r>
            <w:r>
              <w:rPr>
                <w:u w:val="single"/>
              </w:rPr>
              <w:t xml:space="preserve"> </w:t>
            </w:r>
          </w:p>
          <w:p>
            <w:pPr>
              <w:pStyle w:val="2"/>
              <w:ind w:firstLine="1380" w:firstLineChars="600"/>
              <w:rPr>
                <w:u w:val="single"/>
              </w:rPr>
            </w:pPr>
            <w:r>
              <w:rPr>
                <w:rFonts w:hint="eastAsia"/>
              </w:rPr>
              <w:sym w:font="Wingdings" w:char="00FE"/>
            </w:r>
            <w:r>
              <w:rPr>
                <w:rFonts w:hint="eastAsia"/>
              </w:rPr>
              <w:t xml:space="preserve">进行了定期检定  </w:t>
            </w:r>
            <w:r>
              <w:rPr>
                <w:rFonts w:hint="eastAsia"/>
              </w:rPr>
              <w:sym w:font="Wingdings" w:char="00A8"/>
            </w:r>
            <w:r>
              <w:rPr>
                <w:rFonts w:hint="eastAsia"/>
              </w:rPr>
              <w:t xml:space="preserve">未进行定期检定， </w:t>
            </w:r>
            <w:r>
              <w:t xml:space="preserve"> </w:t>
            </w:r>
            <w:r>
              <w:rPr>
                <w:rFonts w:hint="eastAsia"/>
              </w:rPr>
              <w:sym w:font="Wingdings" w:char="00FE"/>
            </w:r>
            <w:r>
              <w:rPr>
                <w:rFonts w:hint="eastAsia"/>
              </w:rPr>
              <w:t>有检定报告</w:t>
            </w:r>
          </w:p>
          <w:p>
            <w:pPr>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szCs w:val="21"/>
              </w:rPr>
            </w:pPr>
            <w:r>
              <w:rPr>
                <w:rFonts w:hint="eastAsia"/>
                <w:szCs w:val="21"/>
              </w:rPr>
              <w:t>还存在哪些局限和不足：</w:t>
            </w:r>
            <w:r>
              <w:rPr>
                <w:rFonts w:hint="eastAsia"/>
                <w:u w:val="single"/>
              </w:rPr>
              <w:t xml:space="preserve">                                  </w:t>
            </w:r>
          </w:p>
          <w:p>
            <w:pPr>
              <w:rPr>
                <w:szCs w:val="21"/>
              </w:rPr>
            </w:pPr>
          </w:p>
          <w:p>
            <w:pPr>
              <w:numPr>
                <w:ilvl w:val="0"/>
                <w:numId w:val="1"/>
              </w:numPr>
            </w:pPr>
            <w:r>
              <w:rPr>
                <w:rFonts w:hint="eastAsia"/>
                <w:szCs w:val="21"/>
              </w:rPr>
              <w:t>需要从外部供方获得的资源：</w:t>
            </w:r>
            <w:r>
              <w:rPr>
                <w:rFonts w:hint="eastAsia"/>
              </w:rPr>
              <w:t xml:space="preserve"> </w:t>
            </w:r>
            <w:r>
              <w:rPr>
                <w:rFonts w:hint="eastAsia"/>
                <w:u w:val="single"/>
              </w:rPr>
              <w:t xml:space="preserve">  无   </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color w:val="auto"/>
              </w:rPr>
            </w:pPr>
            <w:r>
              <w:rPr>
                <w:rFonts w:hint="eastAsia"/>
                <w:color w:val="auto"/>
              </w:rPr>
              <w:t>沟通</w:t>
            </w:r>
          </w:p>
        </w:tc>
        <w:tc>
          <w:tcPr>
            <w:tcW w:w="960" w:type="dxa"/>
            <w:vMerge w:val="restart"/>
          </w:tcPr>
          <w:p>
            <w:pPr>
              <w:rPr>
                <w:color w:val="auto"/>
              </w:rPr>
            </w:pPr>
            <w:r>
              <w:rPr>
                <w:color w:val="auto"/>
              </w:rPr>
              <w:t xml:space="preserve">Q </w:t>
            </w:r>
            <w:r>
              <w:rPr>
                <w:rFonts w:hint="eastAsia"/>
                <w:color w:val="auto"/>
              </w:rPr>
              <w:t>7.</w:t>
            </w:r>
            <w:r>
              <w:rPr>
                <w:color w:val="auto"/>
              </w:rPr>
              <w:t>4</w:t>
            </w:r>
            <w:r>
              <w:rPr>
                <w:rFonts w:hint="eastAsia"/>
                <w:color w:val="auto"/>
              </w:rPr>
              <w:t xml:space="preserve">  </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w:t>
            </w:r>
            <w:r>
              <w:rPr>
                <w:rFonts w:hint="eastAsia"/>
                <w:color w:val="auto"/>
              </w:rPr>
              <w:sym w:font="Wingdings" w:char="00FE"/>
            </w:r>
            <w:r>
              <w:rPr>
                <w:rFonts w:hint="eastAsia"/>
                <w:color w:val="auto"/>
              </w:rPr>
              <w:t>《</w:t>
            </w:r>
            <w:r>
              <w:rPr>
                <w:rFonts w:hint="eastAsia" w:ascii="宋体" w:hAnsi="宋体"/>
                <w:color w:val="auto"/>
                <w:szCs w:val="21"/>
              </w:rPr>
              <w:t>内部以及与顾客沟通控制程序</w:t>
            </w:r>
            <w:r>
              <w:rPr>
                <w:rFonts w:hint="eastAsia"/>
                <w:color w:val="auto"/>
              </w:rPr>
              <w:t>》、</w:t>
            </w:r>
            <w:r>
              <w:rPr>
                <w:rFonts w:hint="eastAsia"/>
                <w:color w:val="auto"/>
              </w:rPr>
              <w:sym w:font="Wingdings" w:char="00FE"/>
            </w:r>
            <w:r>
              <w:rPr>
                <w:rFonts w:hint="eastAsia"/>
                <w:color w:val="auto"/>
              </w:rPr>
              <w:t>《质量手册》</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809"/>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color w:val="auto"/>
                    </w:rPr>
                  </w:pPr>
                  <w:r>
                    <w:rPr>
                      <w:color w:val="auto"/>
                    </w:rPr>
                    <w:t>沟通</w:t>
                  </w:r>
                  <w:r>
                    <w:rPr>
                      <w:rFonts w:hint="eastAsia"/>
                      <w:color w:val="auto"/>
                    </w:rPr>
                    <w:t>日期</w:t>
                  </w:r>
                </w:p>
              </w:tc>
              <w:tc>
                <w:tcPr>
                  <w:tcW w:w="1809" w:type="dxa"/>
                </w:tcPr>
                <w:p>
                  <w:pPr>
                    <w:rPr>
                      <w:color w:val="auto"/>
                    </w:rPr>
                  </w:pPr>
                  <w:r>
                    <w:rPr>
                      <w:color w:val="auto"/>
                    </w:rPr>
                    <w:t>沟通</w:t>
                  </w:r>
                  <w:r>
                    <w:rPr>
                      <w:rFonts w:hint="eastAsia"/>
                      <w:color w:val="auto"/>
                    </w:rPr>
                    <w:t>的内容</w:t>
                  </w:r>
                </w:p>
              </w:tc>
              <w:tc>
                <w:tcPr>
                  <w:tcW w:w="1507" w:type="dxa"/>
                </w:tcPr>
                <w:p>
                  <w:pPr>
                    <w:rPr>
                      <w:color w:val="auto"/>
                    </w:rPr>
                  </w:pPr>
                  <w:r>
                    <w:rPr>
                      <w:rFonts w:hint="eastAsia"/>
                      <w:color w:val="auto"/>
                    </w:rPr>
                    <w:t>沟通对象</w:t>
                  </w:r>
                </w:p>
              </w:tc>
              <w:tc>
                <w:tcPr>
                  <w:tcW w:w="1507" w:type="dxa"/>
                </w:tcPr>
                <w:p>
                  <w:pPr>
                    <w:rPr>
                      <w:color w:val="auto"/>
                    </w:rPr>
                  </w:pPr>
                  <w:r>
                    <w:rPr>
                      <w:rFonts w:hint="eastAsia"/>
                      <w:color w:val="auto"/>
                    </w:rPr>
                    <w:t>沟通方法</w:t>
                  </w:r>
                </w:p>
              </w:tc>
              <w:tc>
                <w:tcPr>
                  <w:tcW w:w="1507" w:type="dxa"/>
                </w:tcPr>
                <w:p>
                  <w:pPr>
                    <w:rPr>
                      <w:color w:val="auto"/>
                    </w:rPr>
                  </w:pPr>
                  <w:r>
                    <w:rPr>
                      <w:rFonts w:hint="eastAsia"/>
                      <w:color w:val="auto"/>
                    </w:rPr>
                    <w:t>责任部门</w:t>
                  </w:r>
                </w:p>
              </w:tc>
              <w:tc>
                <w:tcPr>
                  <w:tcW w:w="1508" w:type="dxa"/>
                </w:tcPr>
                <w:p>
                  <w:pPr>
                    <w:rPr>
                      <w:color w:val="auto"/>
                    </w:rPr>
                  </w:pPr>
                  <w:r>
                    <w:rPr>
                      <w:rFonts w:hint="eastAsia"/>
                      <w:color w:val="auto"/>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color w:val="auto"/>
                    </w:rPr>
                  </w:pPr>
                  <w:r>
                    <w:rPr>
                      <w:rFonts w:hint="eastAsia"/>
                      <w:color w:val="auto"/>
                    </w:rPr>
                    <w:t>2020.</w:t>
                  </w:r>
                  <w:r>
                    <w:rPr>
                      <w:color w:val="auto"/>
                    </w:rPr>
                    <w:t>7</w:t>
                  </w:r>
                  <w:r>
                    <w:rPr>
                      <w:rFonts w:hint="eastAsia"/>
                      <w:color w:val="auto"/>
                    </w:rPr>
                    <w:t>.</w:t>
                  </w:r>
                  <w:r>
                    <w:rPr>
                      <w:color w:val="auto"/>
                    </w:rPr>
                    <w:t>8</w:t>
                  </w:r>
                </w:p>
              </w:tc>
              <w:tc>
                <w:tcPr>
                  <w:tcW w:w="1809" w:type="dxa"/>
                </w:tcPr>
                <w:p>
                  <w:pPr>
                    <w:rPr>
                      <w:color w:val="auto"/>
                    </w:rPr>
                  </w:pPr>
                  <w:r>
                    <w:rPr>
                      <w:rFonts w:hint="eastAsia"/>
                      <w:color w:val="auto"/>
                    </w:rPr>
                    <w:t>设备校准</w:t>
                  </w:r>
                </w:p>
              </w:tc>
              <w:tc>
                <w:tcPr>
                  <w:tcW w:w="1507" w:type="dxa"/>
                </w:tcPr>
                <w:p>
                  <w:pPr>
                    <w:rPr>
                      <w:color w:val="auto"/>
                    </w:rPr>
                  </w:pPr>
                  <w:r>
                    <w:rPr>
                      <w:rFonts w:hint="eastAsia"/>
                      <w:color w:val="auto"/>
                    </w:rPr>
                    <w:t>游标卡尺</w:t>
                  </w:r>
                </w:p>
              </w:tc>
              <w:tc>
                <w:tcPr>
                  <w:tcW w:w="1507" w:type="dxa"/>
                </w:tcPr>
                <w:p>
                  <w:pPr>
                    <w:rPr>
                      <w:color w:val="auto"/>
                    </w:rPr>
                  </w:pPr>
                  <w:r>
                    <w:rPr>
                      <w:rFonts w:hint="eastAsia"/>
                      <w:color w:val="auto"/>
                    </w:rPr>
                    <w:t>现场校准</w:t>
                  </w:r>
                </w:p>
              </w:tc>
              <w:tc>
                <w:tcPr>
                  <w:tcW w:w="1507" w:type="dxa"/>
                </w:tcPr>
                <w:p>
                  <w:pPr>
                    <w:rPr>
                      <w:rFonts w:hint="eastAsia" w:eastAsia="宋体"/>
                      <w:color w:val="auto"/>
                      <w:lang w:eastAsia="zh-CN"/>
                    </w:rPr>
                  </w:pPr>
                  <w:r>
                    <w:rPr>
                      <w:rFonts w:hint="eastAsia"/>
                      <w:color w:val="auto"/>
                      <w:lang w:eastAsia="zh-CN"/>
                    </w:rPr>
                    <w:t>生产部</w:t>
                  </w:r>
                </w:p>
              </w:tc>
              <w:tc>
                <w:tcPr>
                  <w:tcW w:w="1508" w:type="dxa"/>
                </w:tcPr>
                <w:p>
                  <w:pPr>
                    <w:rPr>
                      <w:color w:val="auto"/>
                    </w:rPr>
                  </w:pPr>
                  <w:r>
                    <w:rPr>
                      <w:rFonts w:hint="eastAsia"/>
                      <w:color w:val="auto"/>
                    </w:rPr>
                    <w:t>检定合格</w:t>
                  </w:r>
                </w:p>
              </w:tc>
            </w:tr>
          </w:tbl>
          <w:p>
            <w:pPr>
              <w:rPr>
                <w:color w:val="auto"/>
              </w:rPr>
            </w:pPr>
          </w:p>
          <w:p>
            <w:pPr>
              <w:rPr>
                <w:color w:val="auto"/>
              </w:rPr>
            </w:pPr>
            <w:r>
              <w:rPr>
                <w:rFonts w:hint="eastAsia"/>
                <w:color w:val="auto"/>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798"/>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rPr>
                      <w:color w:val="auto"/>
                    </w:rPr>
                  </w:pPr>
                  <w:r>
                    <w:rPr>
                      <w:color w:val="auto"/>
                    </w:rPr>
                    <w:t>沟通</w:t>
                  </w:r>
                  <w:r>
                    <w:rPr>
                      <w:rFonts w:hint="eastAsia"/>
                      <w:color w:val="auto"/>
                    </w:rPr>
                    <w:t>日期</w:t>
                  </w:r>
                </w:p>
              </w:tc>
              <w:tc>
                <w:tcPr>
                  <w:tcW w:w="1798" w:type="dxa"/>
                </w:tcPr>
                <w:p>
                  <w:pPr>
                    <w:rPr>
                      <w:color w:val="auto"/>
                    </w:rPr>
                  </w:pPr>
                  <w:r>
                    <w:rPr>
                      <w:color w:val="auto"/>
                    </w:rPr>
                    <w:t>沟通</w:t>
                  </w:r>
                  <w:r>
                    <w:rPr>
                      <w:rFonts w:hint="eastAsia"/>
                      <w:color w:val="auto"/>
                    </w:rPr>
                    <w:t>的内容</w:t>
                  </w:r>
                </w:p>
              </w:tc>
              <w:tc>
                <w:tcPr>
                  <w:tcW w:w="1507" w:type="dxa"/>
                </w:tcPr>
                <w:p>
                  <w:pPr>
                    <w:rPr>
                      <w:color w:val="auto"/>
                    </w:rPr>
                  </w:pPr>
                  <w:r>
                    <w:rPr>
                      <w:rFonts w:hint="eastAsia"/>
                      <w:color w:val="auto"/>
                    </w:rPr>
                    <w:t>沟通对象</w:t>
                  </w:r>
                </w:p>
              </w:tc>
              <w:tc>
                <w:tcPr>
                  <w:tcW w:w="1507" w:type="dxa"/>
                </w:tcPr>
                <w:p>
                  <w:pPr>
                    <w:rPr>
                      <w:color w:val="auto"/>
                    </w:rPr>
                  </w:pPr>
                  <w:r>
                    <w:rPr>
                      <w:rFonts w:hint="eastAsia"/>
                      <w:color w:val="auto"/>
                    </w:rPr>
                    <w:t>沟通方法</w:t>
                  </w:r>
                </w:p>
              </w:tc>
              <w:tc>
                <w:tcPr>
                  <w:tcW w:w="1507" w:type="dxa"/>
                </w:tcPr>
                <w:p>
                  <w:pPr>
                    <w:rPr>
                      <w:color w:val="auto"/>
                    </w:rPr>
                  </w:pPr>
                  <w:r>
                    <w:rPr>
                      <w:rFonts w:hint="eastAsia"/>
                      <w:color w:val="auto"/>
                    </w:rPr>
                    <w:t>责任部门</w:t>
                  </w:r>
                </w:p>
              </w:tc>
              <w:tc>
                <w:tcPr>
                  <w:tcW w:w="1508" w:type="dxa"/>
                </w:tcPr>
                <w:p>
                  <w:pPr>
                    <w:rPr>
                      <w:color w:val="auto"/>
                    </w:rPr>
                  </w:pPr>
                  <w:r>
                    <w:rPr>
                      <w:rFonts w:hint="eastAsia"/>
                      <w:color w:val="auto"/>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jc w:val="center"/>
                    <w:rPr>
                      <w:rFonts w:hint="eastAsia" w:eastAsia="宋体"/>
                      <w:color w:val="auto"/>
                      <w:lang w:eastAsia="zh-CN"/>
                    </w:rPr>
                  </w:pPr>
                  <w:r>
                    <w:rPr>
                      <w:rFonts w:hint="eastAsia"/>
                      <w:color w:val="auto"/>
                    </w:rPr>
                    <w:t>202</w:t>
                  </w:r>
                  <w:r>
                    <w:rPr>
                      <w:rFonts w:hint="eastAsia"/>
                      <w:color w:val="auto"/>
                      <w:lang w:val="en-US" w:eastAsia="zh-CN"/>
                    </w:rPr>
                    <w:t>1</w:t>
                  </w:r>
                  <w:r>
                    <w:rPr>
                      <w:rFonts w:hint="eastAsia"/>
                      <w:color w:val="auto"/>
                    </w:rPr>
                    <w:t>.1.1</w:t>
                  </w:r>
                  <w:r>
                    <w:rPr>
                      <w:rFonts w:hint="eastAsia"/>
                      <w:color w:val="auto"/>
                      <w:lang w:val="en-US" w:eastAsia="zh-CN"/>
                    </w:rPr>
                    <w:t>4</w:t>
                  </w:r>
                </w:p>
              </w:tc>
              <w:tc>
                <w:tcPr>
                  <w:tcW w:w="1798" w:type="dxa"/>
                  <w:vAlign w:val="center"/>
                </w:tcPr>
                <w:p>
                  <w:pPr>
                    <w:jc w:val="center"/>
                    <w:rPr>
                      <w:color w:val="auto"/>
                    </w:rPr>
                  </w:pPr>
                  <w:r>
                    <w:rPr>
                      <w:rFonts w:hint="eastAsia" w:ascii="宋体" w:hAnsi="宋体"/>
                      <w:color w:val="auto"/>
                      <w:szCs w:val="21"/>
                    </w:rPr>
                    <w:t>ISO9001：2015标准培训</w:t>
                  </w:r>
                </w:p>
              </w:tc>
              <w:tc>
                <w:tcPr>
                  <w:tcW w:w="1507" w:type="dxa"/>
                  <w:vAlign w:val="center"/>
                </w:tcPr>
                <w:p>
                  <w:pPr>
                    <w:jc w:val="center"/>
                    <w:rPr>
                      <w:color w:val="auto"/>
                    </w:rPr>
                  </w:pPr>
                  <w:r>
                    <w:rPr>
                      <w:rFonts w:hint="eastAsia"/>
                      <w:color w:val="auto"/>
                    </w:rPr>
                    <w:t>全体人员</w:t>
                  </w:r>
                </w:p>
              </w:tc>
              <w:tc>
                <w:tcPr>
                  <w:tcW w:w="1507" w:type="dxa"/>
                  <w:vAlign w:val="center"/>
                </w:tcPr>
                <w:p>
                  <w:pPr>
                    <w:jc w:val="center"/>
                    <w:rPr>
                      <w:color w:val="auto"/>
                    </w:rPr>
                  </w:pPr>
                  <w:r>
                    <w:rPr>
                      <w:rFonts w:hint="eastAsia"/>
                      <w:color w:val="auto"/>
                    </w:rPr>
                    <w:t>面授</w:t>
                  </w:r>
                </w:p>
              </w:tc>
              <w:tc>
                <w:tcPr>
                  <w:tcW w:w="1507" w:type="dxa"/>
                  <w:vAlign w:val="center"/>
                </w:tcPr>
                <w:p>
                  <w:pPr>
                    <w:jc w:val="center"/>
                    <w:rPr>
                      <w:color w:val="auto"/>
                    </w:rPr>
                  </w:pPr>
                  <w:r>
                    <w:rPr>
                      <w:rFonts w:hint="eastAsia"/>
                      <w:color w:val="auto"/>
                    </w:rPr>
                    <w:t>综合部</w:t>
                  </w:r>
                </w:p>
              </w:tc>
              <w:tc>
                <w:tcPr>
                  <w:tcW w:w="1508" w:type="dxa"/>
                  <w:vAlign w:val="center"/>
                </w:tcPr>
                <w:p>
                  <w:pPr>
                    <w:jc w:val="center"/>
                    <w:rPr>
                      <w:color w:val="auto"/>
                    </w:rPr>
                  </w:pPr>
                  <w:r>
                    <w:rPr>
                      <w:rFonts w:hint="eastAsia"/>
                      <w:color w:val="auto"/>
                    </w:rPr>
                    <w:t>培训合格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rPr>
                      <w:rFonts w:hint="eastAsia" w:eastAsia="宋体"/>
                      <w:color w:val="auto"/>
                      <w:lang w:eastAsia="zh-CN"/>
                    </w:rPr>
                  </w:pPr>
                  <w:r>
                    <w:rPr>
                      <w:rFonts w:hint="eastAsia"/>
                      <w:color w:val="auto"/>
                    </w:rPr>
                    <w:t>2020.</w:t>
                  </w:r>
                  <w:r>
                    <w:rPr>
                      <w:color w:val="auto"/>
                    </w:rPr>
                    <w:t>3</w:t>
                  </w:r>
                  <w:r>
                    <w:rPr>
                      <w:rFonts w:hint="eastAsia"/>
                      <w:color w:val="auto"/>
                    </w:rPr>
                    <w:t>.1</w:t>
                  </w:r>
                  <w:r>
                    <w:rPr>
                      <w:rFonts w:hint="eastAsia"/>
                      <w:color w:val="auto"/>
                      <w:lang w:val="en-US" w:eastAsia="zh-CN"/>
                    </w:rPr>
                    <w:t>0</w:t>
                  </w:r>
                </w:p>
              </w:tc>
              <w:tc>
                <w:tcPr>
                  <w:tcW w:w="1798" w:type="dxa"/>
                  <w:vAlign w:val="center"/>
                </w:tcPr>
                <w:p>
                  <w:pPr>
                    <w:rPr>
                      <w:color w:val="auto"/>
                    </w:rPr>
                  </w:pPr>
                  <w:r>
                    <w:rPr>
                      <w:rFonts w:hint="eastAsia" w:ascii="宋体" w:hAnsi="宋体"/>
                      <w:szCs w:val="21"/>
                    </w:rPr>
                    <w:t>内审员培训</w:t>
                  </w:r>
                </w:p>
              </w:tc>
              <w:tc>
                <w:tcPr>
                  <w:tcW w:w="1507" w:type="dxa"/>
                  <w:vAlign w:val="center"/>
                </w:tcPr>
                <w:p>
                  <w:pPr>
                    <w:rPr>
                      <w:color w:val="auto"/>
                    </w:rPr>
                  </w:pPr>
                  <w:r>
                    <w:rPr>
                      <w:rFonts w:hint="eastAsia"/>
                      <w:color w:val="auto"/>
                    </w:rPr>
                    <w:t>全体人员</w:t>
                  </w:r>
                </w:p>
              </w:tc>
              <w:tc>
                <w:tcPr>
                  <w:tcW w:w="1507" w:type="dxa"/>
                  <w:vAlign w:val="center"/>
                </w:tcPr>
                <w:p>
                  <w:pPr>
                    <w:jc w:val="center"/>
                    <w:rPr>
                      <w:color w:val="auto"/>
                    </w:rPr>
                  </w:pPr>
                  <w:r>
                    <w:rPr>
                      <w:rFonts w:hint="eastAsia"/>
                      <w:color w:val="auto"/>
                    </w:rPr>
                    <w:t>面授</w:t>
                  </w:r>
                </w:p>
              </w:tc>
              <w:tc>
                <w:tcPr>
                  <w:tcW w:w="1507" w:type="dxa"/>
                  <w:vAlign w:val="center"/>
                </w:tcPr>
                <w:p>
                  <w:pPr>
                    <w:jc w:val="center"/>
                    <w:rPr>
                      <w:color w:val="auto"/>
                    </w:rPr>
                  </w:pPr>
                  <w:r>
                    <w:rPr>
                      <w:rFonts w:hint="eastAsia"/>
                      <w:color w:val="auto"/>
                    </w:rPr>
                    <w:t>综合部</w:t>
                  </w:r>
                </w:p>
              </w:tc>
              <w:tc>
                <w:tcPr>
                  <w:tcW w:w="1508" w:type="dxa"/>
                  <w:vAlign w:val="center"/>
                </w:tcPr>
                <w:p>
                  <w:pPr>
                    <w:jc w:val="center"/>
                    <w:rPr>
                      <w:color w:val="auto"/>
                    </w:rPr>
                  </w:pPr>
                  <w:r>
                    <w:rPr>
                      <w:rFonts w:hint="eastAsia"/>
                      <w:color w:val="auto"/>
                    </w:rPr>
                    <w:t>培训合格</w:t>
                  </w:r>
                </w:p>
              </w:tc>
            </w:tr>
          </w:tbl>
          <w:p>
            <w:pPr>
              <w:rPr>
                <w:color w:val="auto"/>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Merge w:val="restart"/>
          </w:tcPr>
          <w:p>
            <w:r>
              <w:rPr>
                <w:rFonts w:hint="eastAsia"/>
              </w:rPr>
              <w:t>监视、测量、分析和评价</w:t>
            </w:r>
          </w:p>
        </w:tc>
        <w:tc>
          <w:tcPr>
            <w:tcW w:w="960" w:type="dxa"/>
            <w:vMerge w:val="restart"/>
          </w:tcPr>
          <w:p>
            <w:r>
              <w:t xml:space="preserve">Q </w:t>
            </w:r>
            <w:r>
              <w:rPr>
                <w:rFonts w:hint="eastAsia"/>
              </w:rPr>
              <w:t>9.1</w:t>
            </w:r>
            <w:r>
              <w:t>.1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管理手册9.1.1章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组织对监视和测量的质量绩效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jc w:val="center"/>
                  </w:pPr>
                  <w:r>
                    <w:rPr>
                      <w:rFonts w:hint="eastAsia"/>
                    </w:rPr>
                    <w:t>监视和测量的对象</w:t>
                  </w:r>
                </w:p>
              </w:tc>
              <w:tc>
                <w:tcPr>
                  <w:tcW w:w="2149" w:type="dxa"/>
                  <w:vAlign w:val="center"/>
                </w:tcPr>
                <w:p>
                  <w:pPr>
                    <w:jc w:val="center"/>
                  </w:pPr>
                  <w:r>
                    <w:rPr>
                      <w:rFonts w:hint="eastAsia"/>
                    </w:rPr>
                    <w:t>监视、测量、分析和评价的方法</w:t>
                  </w:r>
                </w:p>
              </w:tc>
              <w:tc>
                <w:tcPr>
                  <w:tcW w:w="1986" w:type="dxa"/>
                  <w:vAlign w:val="center"/>
                </w:tcPr>
                <w:p>
                  <w:pPr>
                    <w:jc w:val="center"/>
                  </w:pPr>
                  <w:r>
                    <w:rPr>
                      <w:rFonts w:hint="eastAsia"/>
                    </w:rPr>
                    <w:t>监视和测量的频次和时机</w:t>
                  </w:r>
                </w:p>
              </w:tc>
              <w:tc>
                <w:tcPr>
                  <w:tcW w:w="1887" w:type="dxa"/>
                  <w:vAlign w:val="center"/>
                </w:tcPr>
                <w:p>
                  <w:pPr>
                    <w:jc w:val="center"/>
                  </w:pPr>
                  <w:r>
                    <w:rPr>
                      <w:rFonts w:hint="eastAsia"/>
                    </w:rPr>
                    <w:t>评价其质量绩效所依据的准则和适当的参数</w:t>
                  </w:r>
                </w:p>
              </w:tc>
              <w:tc>
                <w:tcPr>
                  <w:tcW w:w="2034" w:type="dxa"/>
                  <w:vAlign w:val="center"/>
                </w:tcPr>
                <w:p>
                  <w:pPr>
                    <w:jc w:val="center"/>
                  </w:pPr>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r>
                    <w:rPr>
                      <w:rFonts w:hint="eastAsia"/>
                    </w:rPr>
                    <w:t>过程</w:t>
                  </w:r>
                </w:p>
              </w:tc>
              <w:tc>
                <w:tcPr>
                  <w:tcW w:w="2149" w:type="dxa"/>
                  <w:vAlign w:val="center"/>
                </w:tcPr>
                <w:p>
                  <w:r>
                    <w:rPr>
                      <w:rFonts w:hint="eastAsia"/>
                    </w:rPr>
                    <w:t>现场巡视</w:t>
                  </w:r>
                </w:p>
                <w:p>
                  <w:r>
                    <w:rPr>
                      <w:rFonts w:hint="eastAsia"/>
                    </w:rPr>
                    <w:t>抽查记录</w:t>
                  </w:r>
                </w:p>
                <w:p>
                  <w:r>
                    <w:rPr>
                      <w:rFonts w:hint="eastAsia"/>
                    </w:rPr>
                    <w:t>对质量目标进行统计</w:t>
                  </w:r>
                </w:p>
              </w:tc>
              <w:tc>
                <w:tcPr>
                  <w:tcW w:w="1986" w:type="dxa"/>
                  <w:vAlign w:val="center"/>
                </w:tcPr>
                <w:p>
                  <w:r>
                    <w:rPr>
                      <w:rFonts w:hint="eastAsia"/>
                      <w:szCs w:val="21"/>
                    </w:rPr>
                    <w:t>☑</w:t>
                  </w:r>
                  <w:r>
                    <w:rPr>
                      <w:rFonts w:hint="eastAsia"/>
                    </w:rPr>
                    <w:t>定期检查</w:t>
                  </w:r>
                </w:p>
                <w:p>
                  <w:r>
                    <w:rPr>
                      <w:rFonts w:hint="eastAsia"/>
                      <w:szCs w:val="21"/>
                    </w:rPr>
                    <w:t>☑</w:t>
                  </w:r>
                  <w:r>
                    <w:rPr>
                      <w:rFonts w:hint="eastAsia"/>
                    </w:rPr>
                    <w:t>抽查</w:t>
                  </w:r>
                </w:p>
              </w:tc>
              <w:tc>
                <w:tcPr>
                  <w:tcW w:w="1887" w:type="dxa"/>
                  <w:vAlign w:val="center"/>
                </w:tcPr>
                <w:p>
                  <w:r>
                    <w:rPr>
                      <w:rFonts w:hint="eastAsia"/>
                    </w:rPr>
                    <w:t>——</w:t>
                  </w:r>
                </w:p>
              </w:tc>
              <w:tc>
                <w:tcPr>
                  <w:tcW w:w="2034" w:type="dxa"/>
                  <w:vAlign w:val="center"/>
                </w:tcPr>
                <w:p>
                  <w:pPr>
                    <w:widowControl/>
                    <w:spacing w:before="40"/>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r>
                    <w:rPr>
                      <w:rFonts w:hint="eastAsia"/>
                    </w:rPr>
                    <w:t>体系</w:t>
                  </w:r>
                </w:p>
              </w:tc>
              <w:tc>
                <w:tcPr>
                  <w:tcW w:w="2149" w:type="dxa"/>
                  <w:vAlign w:val="center"/>
                </w:tcPr>
                <w:p>
                  <w:r>
                    <w:rPr>
                      <w:rFonts w:hint="eastAsia"/>
                    </w:rPr>
                    <w:t>内部审核；对内审不符合项进行分析</w:t>
                  </w:r>
                </w:p>
              </w:tc>
              <w:tc>
                <w:tcPr>
                  <w:tcW w:w="1986" w:type="dxa"/>
                  <w:vAlign w:val="center"/>
                </w:tcPr>
                <w:p>
                  <w:r>
                    <w:rPr>
                      <w:rFonts w:hint="eastAsia"/>
                      <w:szCs w:val="21"/>
                    </w:rPr>
                    <w:t>☑</w:t>
                  </w:r>
                  <w:r>
                    <w:rPr>
                      <w:rFonts w:hint="eastAsia"/>
                    </w:rPr>
                    <w:t>按年度内审计划</w:t>
                  </w:r>
                </w:p>
                <w:p>
                  <w:r>
                    <w:rPr>
                      <w:rFonts w:hint="eastAsia"/>
                      <w:szCs w:val="21"/>
                    </w:rPr>
                    <w:t>□</w:t>
                  </w:r>
                  <w:r>
                    <w:rPr>
                      <w:rFonts w:hint="eastAsia"/>
                    </w:rPr>
                    <w:t>每年一次</w:t>
                  </w:r>
                </w:p>
                <w:p>
                  <w:r>
                    <w:rPr>
                      <w:rFonts w:hint="eastAsia"/>
                      <w:szCs w:val="21"/>
                    </w:rPr>
                    <w:t>□特殊情况增加</w:t>
                  </w:r>
                </w:p>
              </w:tc>
              <w:tc>
                <w:tcPr>
                  <w:tcW w:w="1887" w:type="dxa"/>
                  <w:vAlign w:val="center"/>
                </w:tcPr>
                <w:p>
                  <w:r>
                    <w:rPr>
                      <w:rFonts w:hint="eastAsia"/>
                    </w:rPr>
                    <w:t>——</w:t>
                  </w:r>
                </w:p>
              </w:tc>
              <w:tc>
                <w:tcPr>
                  <w:tcW w:w="2034" w:type="dxa"/>
                  <w:vAlign w:val="center"/>
                </w:tcPr>
                <w:p>
                  <w:pPr>
                    <w:widowControl/>
                    <w:spacing w:before="40"/>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管理评审，对存在的需要问题进行分析</w:t>
                  </w:r>
                </w:p>
              </w:tc>
              <w:tc>
                <w:tcPr>
                  <w:tcW w:w="1986" w:type="dxa"/>
                </w:tcPr>
                <w:p>
                  <w:r>
                    <w:rPr>
                      <w:rFonts w:hint="eastAsia"/>
                      <w:szCs w:val="21"/>
                    </w:rPr>
                    <w:t>☑</w:t>
                  </w:r>
                  <w:r>
                    <w:rPr>
                      <w:rFonts w:hint="eastAsia"/>
                    </w:rPr>
                    <w:t>每年一次</w:t>
                  </w:r>
                </w:p>
                <w:p>
                  <w:r>
                    <w:rPr>
                      <w:rFonts w:hint="eastAsia"/>
                      <w:szCs w:val="21"/>
                    </w:rPr>
                    <w:t>□特殊情况增加</w:t>
                  </w:r>
                </w:p>
              </w:tc>
              <w:tc>
                <w:tcPr>
                  <w:tcW w:w="1887" w:type="dxa"/>
                </w:tcPr>
                <w:p>
                  <w:r>
                    <w:rPr>
                      <w:rFonts w:hint="eastAsia"/>
                    </w:rPr>
                    <w:t>——</w:t>
                  </w:r>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反馈处理，对问题进行统计</w:t>
                  </w:r>
                </w:p>
              </w:tc>
              <w:tc>
                <w:tcPr>
                  <w:tcW w:w="1986" w:type="dxa"/>
                </w:tcPr>
                <w:p>
                  <w:r>
                    <w:rPr>
                      <w:rFonts w:hint="eastAsia"/>
                      <w:szCs w:val="21"/>
                    </w:rPr>
                    <w:t>☑</w:t>
                  </w:r>
                  <w:r>
                    <w:rPr>
                      <w:rFonts w:hint="eastAsia"/>
                    </w:rPr>
                    <w:t>每年一次</w:t>
                  </w:r>
                </w:p>
                <w:p>
                  <w:r>
                    <w:rPr>
                      <w:rFonts w:hint="eastAsia"/>
                      <w:szCs w:val="21"/>
                    </w:rPr>
                    <w:t>□随时</w:t>
                  </w:r>
                </w:p>
              </w:tc>
              <w:tc>
                <w:tcPr>
                  <w:tcW w:w="1887" w:type="dxa"/>
                </w:tcPr>
                <w:p>
                  <w:r>
                    <w:rPr>
                      <w:rFonts w:hint="eastAsia"/>
                    </w:rPr>
                    <w:t>——</w:t>
                  </w:r>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rPr>
                <w:color w:val="auto"/>
              </w:rPr>
            </w:pPr>
            <w:r>
              <w:rPr>
                <w:rFonts w:hint="eastAsia"/>
                <w:color w:val="auto"/>
              </w:rPr>
              <w:t>分析和评价</w:t>
            </w:r>
          </w:p>
        </w:tc>
        <w:tc>
          <w:tcPr>
            <w:tcW w:w="960" w:type="dxa"/>
            <w:vMerge w:val="restart"/>
          </w:tcPr>
          <w:p>
            <w:pPr>
              <w:rPr>
                <w:color w:val="auto"/>
              </w:rPr>
            </w:pPr>
            <w:r>
              <w:rPr>
                <w:color w:val="auto"/>
              </w:rPr>
              <w:t xml:space="preserve">Q </w:t>
            </w:r>
            <w:r>
              <w:rPr>
                <w:rFonts w:hint="eastAsia"/>
                <w:color w:val="auto"/>
              </w:rPr>
              <w:t>9.1</w:t>
            </w:r>
            <w:r>
              <w:rPr>
                <w:color w:val="auto"/>
              </w:rPr>
              <w:t>.3</w:t>
            </w:r>
          </w:p>
        </w:tc>
        <w:tc>
          <w:tcPr>
            <w:tcW w:w="745" w:type="dxa"/>
          </w:tcPr>
          <w:p>
            <w:pPr>
              <w:rPr>
                <w:rFonts w:hint="eastAsia"/>
                <w:color w:val="FF0000"/>
              </w:rPr>
            </w:pPr>
            <w:r>
              <w:rPr>
                <w:rFonts w:hint="eastAsia"/>
              </w:rPr>
              <w:t>文件名称</w:t>
            </w:r>
          </w:p>
        </w:tc>
        <w:tc>
          <w:tcPr>
            <w:tcW w:w="9259" w:type="dxa"/>
          </w:tcPr>
          <w:p>
            <w:pPr>
              <w:rPr>
                <w:rFonts w:hint="eastAsia"/>
              </w:rPr>
            </w:pPr>
            <w:r>
              <w:rPr>
                <w:rFonts w:hint="eastAsia"/>
              </w:rPr>
              <w:t>如：</w:t>
            </w:r>
            <w:r>
              <w:rPr>
                <w:rFonts w:hint="eastAsia"/>
              </w:rPr>
              <w:sym w:font="Wingdings" w:char="00FE"/>
            </w:r>
            <w:r>
              <w:rPr>
                <w:rFonts w:hint="eastAsia"/>
              </w:rPr>
              <w:t>管理手册，</w:t>
            </w:r>
            <w:r>
              <w:rPr>
                <w:rFonts w:hint="eastAsia"/>
              </w:rPr>
              <w:sym w:font="Wingdings" w:char="00FE"/>
            </w:r>
            <w:r>
              <w:rPr>
                <w:rFonts w:hint="eastAsia"/>
              </w:rPr>
              <w:t>《测量、分析和改进控制程序》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color w:val="FF0000"/>
              </w:rPr>
            </w:pPr>
          </w:p>
        </w:tc>
        <w:tc>
          <w:tcPr>
            <w:tcW w:w="960" w:type="dxa"/>
            <w:vMerge w:val="continue"/>
          </w:tcPr>
          <w:p>
            <w:pPr>
              <w:rPr>
                <w:color w:val="FF0000"/>
              </w:rPr>
            </w:pPr>
          </w:p>
        </w:tc>
        <w:tc>
          <w:tcPr>
            <w:tcW w:w="745" w:type="dxa"/>
          </w:tcPr>
          <w:p>
            <w:pPr>
              <w:rPr>
                <w:rFonts w:hint="eastAsia"/>
                <w:color w:val="FF0000"/>
              </w:rPr>
            </w:pPr>
            <w:r>
              <w:rPr>
                <w:rFonts w:hint="eastAsia"/>
              </w:rPr>
              <w:t>运行证据</w:t>
            </w:r>
          </w:p>
        </w:tc>
        <w:tc>
          <w:tcPr>
            <w:tcW w:w="9259" w:type="dxa"/>
          </w:tcPr>
          <w:p>
            <w:r>
              <w:rPr>
                <w:rFonts w:hint="eastAsia"/>
              </w:rPr>
              <w:t>对获得的数据和信息进行分析与评价</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651"/>
              <w:gridCol w:w="1811"/>
              <w:gridCol w:w="134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pPr>
                    <w:jc w:val="center"/>
                  </w:pPr>
                  <w:r>
                    <w:rPr>
                      <w:rFonts w:hint="eastAsia"/>
                    </w:rPr>
                    <w:t>分析和评价的对象</w:t>
                  </w:r>
                </w:p>
              </w:tc>
              <w:tc>
                <w:tcPr>
                  <w:tcW w:w="2651" w:type="dxa"/>
                  <w:vAlign w:val="center"/>
                </w:tcPr>
                <w:p>
                  <w:pPr>
                    <w:jc w:val="center"/>
                  </w:pPr>
                  <w:r>
                    <w:rPr>
                      <w:rFonts w:hint="eastAsia"/>
                    </w:rPr>
                    <w:t>分析和评价的方法</w:t>
                  </w:r>
                </w:p>
              </w:tc>
              <w:tc>
                <w:tcPr>
                  <w:tcW w:w="1811" w:type="dxa"/>
                  <w:vAlign w:val="center"/>
                </w:tcPr>
                <w:p>
                  <w:pPr>
                    <w:jc w:val="center"/>
                  </w:pPr>
                  <w:r>
                    <w:rPr>
                      <w:rFonts w:hint="eastAsia"/>
                    </w:rPr>
                    <w:t>分析和评价的频次和时机</w:t>
                  </w:r>
                </w:p>
              </w:tc>
              <w:tc>
                <w:tcPr>
                  <w:tcW w:w="1342" w:type="dxa"/>
                  <w:vAlign w:val="center"/>
                </w:tcPr>
                <w:p>
                  <w:pPr>
                    <w:jc w:val="center"/>
                  </w:pPr>
                  <w:r>
                    <w:rPr>
                      <w:rFonts w:hint="eastAsia"/>
                    </w:rPr>
                    <w:t>使用的统计技术</w:t>
                  </w:r>
                </w:p>
              </w:tc>
              <w:tc>
                <w:tcPr>
                  <w:tcW w:w="1314" w:type="dxa"/>
                  <w:vAlign w:val="center"/>
                </w:tcPr>
                <w:p>
                  <w:pPr>
                    <w:jc w:val="center"/>
                  </w:pPr>
                  <w:r>
                    <w:rPr>
                      <w:rFonts w:hint="eastAsia"/>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产品和服务的符合性</w:t>
                  </w:r>
                </w:p>
              </w:tc>
              <w:tc>
                <w:tcPr>
                  <w:tcW w:w="2651" w:type="dxa"/>
                  <w:shd w:val="clear" w:color="auto" w:fill="auto"/>
                  <w:vAlign w:val="center"/>
                </w:tcPr>
                <w:p>
                  <w:r>
                    <w:rPr>
                      <w:rFonts w:hint="eastAsia"/>
                    </w:rPr>
                    <w:t>对产品合格率进行统计分析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顾客满意程度</w:t>
                  </w:r>
                </w:p>
              </w:tc>
              <w:tc>
                <w:tcPr>
                  <w:tcW w:w="2651" w:type="dxa"/>
                  <w:shd w:val="clear" w:color="auto" w:fill="auto"/>
                  <w:vAlign w:val="center"/>
                </w:tcPr>
                <w:p>
                  <w:r>
                    <w:rPr>
                      <w:rFonts w:hint="eastAsia"/>
                    </w:rPr>
                    <w:t>对顾客满意率进行统计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质量管理体系的绩效和有效性</w:t>
                  </w:r>
                </w:p>
              </w:tc>
              <w:tc>
                <w:tcPr>
                  <w:tcW w:w="2651" w:type="dxa"/>
                  <w:shd w:val="clear" w:color="auto" w:fill="auto"/>
                  <w:vAlign w:val="center"/>
                </w:tcPr>
                <w:p>
                  <w:r>
                    <w:rPr>
                      <w:rFonts w:hint="eastAsia"/>
                    </w:rPr>
                    <w:t>对内审不符合项进行分析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策划是否得到有效实施</w:t>
                  </w:r>
                </w:p>
              </w:tc>
              <w:tc>
                <w:tcPr>
                  <w:tcW w:w="2651" w:type="dxa"/>
                  <w:shd w:val="clear" w:color="auto" w:fill="auto"/>
                  <w:vAlign w:val="center"/>
                </w:tcPr>
                <w:p>
                  <w:r>
                    <w:rPr>
                      <w:rFonts w:hint="eastAsia"/>
                    </w:rPr>
                    <w:t>对质量目标完成/Cpk进行统计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针对风险和机遇所采取措施的有效性</w:t>
                  </w:r>
                </w:p>
              </w:tc>
              <w:tc>
                <w:tcPr>
                  <w:tcW w:w="2651" w:type="dxa"/>
                  <w:shd w:val="clear" w:color="auto" w:fill="auto"/>
                  <w:vAlign w:val="center"/>
                </w:tcPr>
                <w:p>
                  <w:r>
                    <w:rPr>
                      <w:rFonts w:hint="eastAsia"/>
                    </w:rPr>
                    <w:t>对质量目标完成进行统计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外部供方的绩效</w:t>
                  </w:r>
                </w:p>
              </w:tc>
              <w:tc>
                <w:tcPr>
                  <w:tcW w:w="2651" w:type="dxa"/>
                  <w:shd w:val="clear" w:color="auto" w:fill="auto"/>
                  <w:vAlign w:val="center"/>
                </w:tcPr>
                <w:p>
                  <w:r>
                    <w:rPr>
                      <w:rFonts w:hint="eastAsia"/>
                    </w:rPr>
                    <w:t>对外部供方的供货质量和服务质量进行统计分析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质量管理体系改进的需求</w:t>
                  </w:r>
                </w:p>
              </w:tc>
              <w:tc>
                <w:tcPr>
                  <w:tcW w:w="2651" w:type="dxa"/>
                  <w:shd w:val="clear" w:color="auto" w:fill="auto"/>
                  <w:vAlign w:val="center"/>
                </w:tcPr>
                <w:p>
                  <w:r>
                    <w:rPr>
                      <w:rFonts w:hint="eastAsia"/>
                    </w:rPr>
                    <w:t>对QMS存在的需要问题进行分析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bl>
          <w:p>
            <w:pPr>
              <w:rPr>
                <w:rFonts w:hint="eastAsi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t xml:space="preserve">Q </w:t>
            </w:r>
            <w:r>
              <w:rPr>
                <w:rFonts w:hint="eastAsia"/>
              </w:rPr>
              <w:t>9.3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手册第9.3条款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widowControl/>
              <w:spacing w:before="40"/>
              <w:jc w:val="left"/>
              <w:rPr>
                <w:szCs w:val="18"/>
              </w:rPr>
            </w:pPr>
            <w:r>
              <w:rPr>
                <w:rFonts w:hint="eastAsia"/>
                <w:szCs w:val="18"/>
              </w:rPr>
              <w:t>自</w:t>
            </w:r>
            <w:r>
              <w:rPr/>
              <w:sym w:font="Wingdings" w:char="00FE"/>
            </w:r>
            <w:r>
              <w:rPr>
                <w:rFonts w:hint="eastAsia"/>
                <w:szCs w:val="18"/>
              </w:rPr>
              <w:t>管理体系建立后/</w:t>
            </w:r>
            <w:r>
              <w:rPr/>
              <w:sym w:font="Wingdings" w:char="00A8"/>
            </w:r>
            <w:r>
              <w:rPr>
                <w:rFonts w:hint="eastAsia"/>
              </w:rPr>
              <w:t>近一年</w:t>
            </w:r>
            <w:r>
              <w:rPr>
                <w:rFonts w:hint="eastAsia"/>
                <w:szCs w:val="18"/>
              </w:rPr>
              <w:t>，于</w:t>
            </w:r>
            <w:r>
              <w:rPr>
                <w:rFonts w:hint="eastAsia"/>
                <w:szCs w:val="18"/>
                <w:u w:val="single"/>
              </w:rPr>
              <w:t xml:space="preserve"> 202</w:t>
            </w:r>
            <w:r>
              <w:rPr>
                <w:rFonts w:hint="eastAsia"/>
                <w:szCs w:val="18"/>
                <w:u w:val="single"/>
                <w:lang w:val="en-US" w:eastAsia="zh-CN"/>
              </w:rPr>
              <w:t>1</w:t>
            </w:r>
            <w:r>
              <w:rPr>
                <w:szCs w:val="18"/>
                <w:u w:val="single"/>
              </w:rPr>
              <w:t xml:space="preserve"> </w:t>
            </w:r>
            <w:r>
              <w:rPr>
                <w:rFonts w:hint="eastAsia"/>
                <w:szCs w:val="18"/>
              </w:rPr>
              <w:t>年</w:t>
            </w:r>
            <w:r>
              <w:rPr>
                <w:rFonts w:hint="eastAsia"/>
                <w:szCs w:val="18"/>
                <w:u w:val="single"/>
              </w:rPr>
              <w:t xml:space="preserve"> </w:t>
            </w:r>
            <w:r>
              <w:rPr>
                <w:rFonts w:hint="eastAsia"/>
                <w:szCs w:val="18"/>
                <w:u w:val="single"/>
                <w:lang w:val="en-US" w:eastAsia="zh-CN"/>
              </w:rPr>
              <w:t>5</w:t>
            </w:r>
            <w:r>
              <w:rPr>
                <w:rFonts w:hint="eastAsia"/>
                <w:szCs w:val="18"/>
                <w:u w:val="single"/>
              </w:rPr>
              <w:t xml:space="preserve"> </w:t>
            </w:r>
            <w:r>
              <w:rPr>
                <w:rFonts w:hint="eastAsia"/>
                <w:szCs w:val="18"/>
              </w:rPr>
              <w:t>月</w:t>
            </w:r>
            <w:r>
              <w:rPr>
                <w:szCs w:val="18"/>
                <w:u w:val="single"/>
              </w:rPr>
              <w:t xml:space="preserve"> 2</w:t>
            </w:r>
            <w:r>
              <w:rPr>
                <w:rFonts w:hint="eastAsia"/>
                <w:szCs w:val="18"/>
                <w:u w:val="single"/>
                <w:lang w:val="en-US" w:eastAsia="zh-CN"/>
              </w:rPr>
              <w:t>4</w:t>
            </w:r>
            <w:r>
              <w:rPr>
                <w:rFonts w:hint="eastAsia"/>
                <w:szCs w:val="18"/>
                <w:u w:val="single"/>
              </w:rPr>
              <w:t xml:space="preserve"> </w:t>
            </w:r>
            <w:r>
              <w:rPr>
                <w:rFonts w:hint="eastAsia"/>
                <w:szCs w:val="18"/>
              </w:rPr>
              <w:t>日施了管理评审；</w:t>
            </w:r>
          </w:p>
          <w:p>
            <w:pPr>
              <w:widowControl/>
              <w:spacing w:before="40"/>
              <w:jc w:val="left"/>
              <w:rPr>
                <w:szCs w:val="18"/>
              </w:rPr>
            </w:pPr>
            <w:r>
              <w:rPr>
                <w:rFonts w:hint="eastAsia"/>
                <w:szCs w:val="18"/>
              </w:rPr>
              <w:t>查看</w:t>
            </w:r>
            <w:r>
              <w:rPr>
                <w:rFonts w:hint="eastAsia"/>
                <w:szCs w:val="21"/>
              </w:rPr>
              <w:t>☑管理评审计划  ☑管理评审记录（工作总结）  □管理评审纪要  ☑管理评审报告</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891"/>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center"/>
                    <w:rPr>
                      <w:szCs w:val="21"/>
                    </w:rPr>
                  </w:pPr>
                  <w:r>
                    <w:rPr>
                      <w:rFonts w:hint="eastAsia"/>
                      <w:szCs w:val="21"/>
                    </w:rPr>
                    <w:t>管理评审输入信息</w:t>
                  </w:r>
                </w:p>
              </w:tc>
              <w:tc>
                <w:tcPr>
                  <w:tcW w:w="1891" w:type="dxa"/>
                </w:tcPr>
                <w:p>
                  <w:pPr>
                    <w:widowControl/>
                    <w:spacing w:before="40"/>
                    <w:jc w:val="center"/>
                    <w:rPr>
                      <w:szCs w:val="21"/>
                    </w:rPr>
                  </w:pPr>
                  <w:r>
                    <w:rPr>
                      <w:rFonts w:hint="eastAsia"/>
                      <w:szCs w:val="21"/>
                    </w:rPr>
                    <w:t>评价</w:t>
                  </w:r>
                </w:p>
              </w:tc>
              <w:tc>
                <w:tcPr>
                  <w:tcW w:w="2915" w:type="dxa"/>
                </w:tcPr>
                <w:p>
                  <w:pPr>
                    <w:widowControl/>
                    <w:spacing w:before="40"/>
                    <w:jc w:val="center"/>
                    <w:rPr>
                      <w:szCs w:val="21"/>
                    </w:rPr>
                  </w:pPr>
                  <w:r>
                    <w:rPr>
                      <w:rFonts w:hint="eastAsia"/>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center"/>
                </w:tcPr>
                <w:p>
                  <w:pPr>
                    <w:widowControl/>
                    <w:spacing w:before="40"/>
                    <w:rPr>
                      <w:szCs w:val="21"/>
                    </w:rPr>
                  </w:pPr>
                  <w:r>
                    <w:rPr>
                      <w:rFonts w:hint="eastAsia"/>
                    </w:rPr>
                    <w:t>以往管理评审所采取措施的情况；</w:t>
                  </w:r>
                </w:p>
              </w:tc>
              <w:tc>
                <w:tcPr>
                  <w:tcW w:w="1891" w:type="dxa"/>
                  <w:vAlign w:val="center"/>
                </w:tcPr>
                <w:p>
                  <w:pPr>
                    <w:widowControl/>
                    <w:spacing w:before="40"/>
                    <w:rPr>
                      <w:szCs w:val="21"/>
                    </w:rPr>
                  </w:pPr>
                  <w:r>
                    <w:rPr>
                      <w:rFonts w:hint="eastAsia"/>
                      <w:szCs w:val="21"/>
                    </w:rPr>
                    <w:t>□符合 □不符合</w:t>
                  </w:r>
                </w:p>
              </w:tc>
              <w:tc>
                <w:tcPr>
                  <w:tcW w:w="2915" w:type="dxa"/>
                </w:tcPr>
                <w:p>
                  <w:pPr>
                    <w:widowControl/>
                    <w:spacing w:before="40"/>
                    <w:jc w:val="left"/>
                    <w:rPr>
                      <w:szCs w:val="21"/>
                      <w:highlight w:val="cyan"/>
                    </w:rPr>
                  </w:pPr>
                  <w:r>
                    <w:rPr>
                      <w:rFonts w:hint="eastAsia"/>
                      <w:szCs w:val="21"/>
                    </w:rPr>
                    <w:t>系首次管理评审，无历史资料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与质量管理体系相关的内外部因素的变化；</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有关相关方的反馈及趋势</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满足相关方需求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目标的实现程度及趋势</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过程绩效以及产品和服务的合格情况及趋势</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生产及目标达标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不合格及纠正措施及趋势</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无投诉，内审不符合已改进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监视和测量结果及趋势</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内审、外部审核结果及趋势</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center"/>
                </w:tcPr>
                <w:p>
                  <w:pPr>
                    <w:widowControl/>
                    <w:spacing w:before="40"/>
                    <w:rPr>
                      <w:szCs w:val="21"/>
                    </w:rPr>
                  </w:pPr>
                  <w:r>
                    <w:rPr>
                      <w:rFonts w:hint="eastAsia" w:ascii="宋体" w:hAnsi="宋体" w:cs="宋体"/>
                    </w:rPr>
                    <w:t>顾客或相关方</w:t>
                  </w:r>
                  <w:r>
                    <w:rPr>
                      <w:rFonts w:hint="eastAsia"/>
                    </w:rPr>
                    <w:t>绩效及趋势</w:t>
                  </w:r>
                </w:p>
              </w:tc>
              <w:tc>
                <w:tcPr>
                  <w:tcW w:w="1891" w:type="dxa"/>
                  <w:vAlign w:val="center"/>
                </w:tcPr>
                <w:p>
                  <w:pPr>
                    <w:widowControl/>
                    <w:spacing w:before="40"/>
                    <w:rPr>
                      <w:szCs w:val="21"/>
                    </w:rPr>
                  </w:pPr>
                  <w:r>
                    <w:rPr>
                      <w:rFonts w:hint="eastAsia"/>
                      <w:szCs w:val="21"/>
                    </w:rPr>
                    <w:t>☑符合 □不符合</w:t>
                  </w:r>
                </w:p>
              </w:tc>
              <w:tc>
                <w:tcPr>
                  <w:tcW w:w="2915" w:type="dxa"/>
                </w:tcPr>
                <w:p>
                  <w:pPr>
                    <w:widowControl/>
                    <w:spacing w:before="40"/>
                    <w:jc w:val="left"/>
                    <w:rPr>
                      <w:szCs w:val="21"/>
                    </w:rPr>
                  </w:pPr>
                  <w:r>
                    <w:rPr>
                      <w:rFonts w:hint="eastAsia"/>
                      <w:szCs w:val="21"/>
                    </w:rPr>
                    <w:t>已进行顾客满意度调查，符合要求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资源的充分性；</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满足管理体系的要求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应对风险和机遇所采取措施的有效性</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ascii="宋体" w:hAnsi="宋体" w:cs="宋体"/>
                    </w:rPr>
                    <w:t>投</w:t>
                  </w:r>
                  <w:r>
                    <w:rPr>
                      <w:rFonts w:hint="eastAsia"/>
                      <w:szCs w:val="21"/>
                    </w:rPr>
                    <w:t>资、改进公司办公环境</w:t>
                  </w:r>
                </w:p>
              </w:tc>
            </w:tr>
          </w:tbl>
          <w:p>
            <w:pPr>
              <w:widowControl/>
              <w:spacing w:before="40"/>
              <w:jc w:val="left"/>
              <w:rPr>
                <w:szCs w:val="21"/>
                <w:highlight w:val="cyan"/>
              </w:rPr>
            </w:pPr>
          </w:p>
          <w:tbl>
            <w:tblPr>
              <w:tblStyle w:val="8"/>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4239"/>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widowControl/>
                    <w:spacing w:before="40"/>
                    <w:jc w:val="center"/>
                    <w:rPr>
                      <w:szCs w:val="21"/>
                    </w:rPr>
                  </w:pPr>
                  <w:r>
                    <w:rPr>
                      <w:rFonts w:hint="eastAsia"/>
                      <w:szCs w:val="18"/>
                    </w:rPr>
                    <w:t>管理评审输出信息</w:t>
                  </w:r>
                </w:p>
              </w:tc>
              <w:tc>
                <w:tcPr>
                  <w:tcW w:w="4239" w:type="dxa"/>
                </w:tcPr>
                <w:p>
                  <w:pPr>
                    <w:widowControl/>
                    <w:spacing w:before="40"/>
                    <w:jc w:val="center"/>
                    <w:rPr>
                      <w:szCs w:val="21"/>
                    </w:rPr>
                  </w:pPr>
                  <w:r>
                    <w:rPr>
                      <w:rFonts w:hint="eastAsia"/>
                      <w:szCs w:val="21"/>
                    </w:rPr>
                    <w:t>措施描述</w:t>
                  </w:r>
                </w:p>
              </w:tc>
              <w:tc>
                <w:tcPr>
                  <w:tcW w:w="2630" w:type="dxa"/>
                </w:tcPr>
                <w:p>
                  <w:pPr>
                    <w:widowControl/>
                    <w:spacing w:before="40"/>
                    <w:jc w:val="center"/>
                    <w:rPr>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vAlign w:val="center"/>
                </w:tcPr>
                <w:p>
                  <w:pPr>
                    <w:widowControl/>
                    <w:spacing w:before="40"/>
                    <w:rPr>
                      <w:szCs w:val="21"/>
                    </w:rPr>
                  </w:pPr>
                  <w:r>
                    <w:rPr>
                      <w:rFonts w:hint="eastAsia"/>
                    </w:rPr>
                    <w:t>改进的机会</w:t>
                  </w:r>
                </w:p>
              </w:tc>
              <w:tc>
                <w:tcPr>
                  <w:tcW w:w="4239" w:type="dxa"/>
                  <w:vAlign w:val="center"/>
                </w:tcPr>
                <w:p>
                  <w:pPr>
                    <w:widowControl/>
                    <w:spacing w:before="40"/>
                    <w:rPr>
                      <w:szCs w:val="22"/>
                    </w:rPr>
                  </w:pPr>
                  <w:r>
                    <w:rPr>
                      <w:rFonts w:hint="eastAsia" w:ascii="宋体" w:hAnsi="宋体" w:cs="Arial"/>
                      <w:szCs w:val="21"/>
                    </w:rPr>
                    <w:t>抓住机遇，降低风险，发展成品牌企业</w:t>
                  </w:r>
                </w:p>
              </w:tc>
              <w:tc>
                <w:tcPr>
                  <w:tcW w:w="2630" w:type="dxa"/>
                  <w:vAlign w:val="center"/>
                </w:tcPr>
                <w:p>
                  <w:pPr>
                    <w:widowControl/>
                    <w:spacing w:before="40"/>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vAlign w:val="center"/>
                </w:tcPr>
                <w:p>
                  <w:pPr>
                    <w:widowControl/>
                    <w:spacing w:before="40"/>
                    <w:rPr>
                      <w:szCs w:val="21"/>
                    </w:rPr>
                  </w:pPr>
                  <w:r>
                    <w:rPr>
                      <w:rFonts w:hint="eastAsia"/>
                    </w:rPr>
                    <w:t>管理体系所需的变更</w:t>
                  </w:r>
                </w:p>
              </w:tc>
              <w:tc>
                <w:tcPr>
                  <w:tcW w:w="4239" w:type="dxa"/>
                  <w:vAlign w:val="center"/>
                </w:tcPr>
                <w:p>
                  <w:pPr>
                    <w:widowControl/>
                    <w:spacing w:before="40"/>
                    <w:rPr>
                      <w:szCs w:val="21"/>
                    </w:rPr>
                  </w:pPr>
                  <w:r>
                    <w:rPr>
                      <w:rFonts w:hint="eastAsia" w:ascii="宋体" w:hAnsi="宋体" w:cs="Arial"/>
                      <w:szCs w:val="21"/>
                    </w:rPr>
                    <w:t>增加培训计划和招聘计划</w:t>
                  </w:r>
                </w:p>
              </w:tc>
              <w:tc>
                <w:tcPr>
                  <w:tcW w:w="2630" w:type="dxa"/>
                  <w:vAlign w:val="center"/>
                </w:tcPr>
                <w:p>
                  <w:pPr>
                    <w:widowControl/>
                    <w:spacing w:before="40"/>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vAlign w:val="center"/>
                </w:tcPr>
                <w:p>
                  <w:pPr>
                    <w:widowControl/>
                    <w:spacing w:before="40"/>
                    <w:rPr>
                      <w:szCs w:val="21"/>
                    </w:rPr>
                  </w:pPr>
                  <w:r>
                    <w:rPr>
                      <w:rFonts w:hint="eastAsia"/>
                    </w:rPr>
                    <w:t>资源需求</w:t>
                  </w:r>
                </w:p>
              </w:tc>
              <w:tc>
                <w:tcPr>
                  <w:tcW w:w="4239" w:type="dxa"/>
                  <w:vAlign w:val="center"/>
                </w:tcPr>
                <w:p>
                  <w:pPr>
                    <w:widowControl/>
                    <w:spacing w:before="40"/>
                    <w:rPr>
                      <w:szCs w:val="21"/>
                    </w:rPr>
                  </w:pPr>
                  <w:r>
                    <w:rPr>
                      <w:rFonts w:hint="eastAsia" w:ascii="宋体" w:hAnsi="宋体" w:cs="Arial"/>
                      <w:szCs w:val="21"/>
                    </w:rPr>
                    <w:t>制定培训计划和招聘计划</w:t>
                  </w:r>
                </w:p>
              </w:tc>
              <w:tc>
                <w:tcPr>
                  <w:tcW w:w="2630" w:type="dxa"/>
                  <w:vAlign w:val="center"/>
                </w:tcPr>
                <w:p>
                  <w:pPr>
                    <w:widowControl/>
                    <w:spacing w:before="40"/>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管理手册10.1章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组织确定了改进机会，并采取必要措施，以实现其质量管理 体系的预期结果。。 </w:t>
            </w:r>
          </w:p>
          <w:p>
            <w:r>
              <w:rPr>
                <w:rFonts w:hint="eastAsia"/>
              </w:rPr>
              <w:t xml:space="preserve">这包括： </w:t>
            </w:r>
          </w:p>
          <w:p>
            <w:r>
              <w:rPr>
                <w:rFonts w:hint="eastAsia"/>
              </w:rPr>
              <w:sym w:font="Wingdings" w:char="00FE"/>
            </w:r>
            <w:r>
              <w:rPr>
                <w:rFonts w:hint="eastAsia"/>
              </w:rPr>
              <w:t xml:space="preserve">改进产品和服务，以满足相关方要求并应对其需求和期望；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持续改进</w:t>
            </w:r>
          </w:p>
        </w:tc>
        <w:tc>
          <w:tcPr>
            <w:tcW w:w="960" w:type="dxa"/>
            <w:vMerge w:val="restart"/>
          </w:tcPr>
          <w:p>
            <w:r>
              <w:rPr>
                <w:rFonts w:hint="eastAsia"/>
              </w:rPr>
              <w:t>Q10.3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组织已持续改进质量管理 体系的适宜性、充分性和有效性，以提升质量绩效。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r>
              <w:rPr>
                <w:rFonts w:hint="eastAsia"/>
              </w:rPr>
              <w:sym w:font="Wingdings" w:char="00A8"/>
            </w:r>
            <w:r>
              <w:rPr>
                <w:rFonts w:hint="eastAsia"/>
              </w:rPr>
              <w:t xml:space="preserve"> 改进措施未落实的原因：</w:t>
            </w:r>
            <w:r>
              <w:rPr>
                <w:rFonts w:hint="eastAsia"/>
                <w:u w:val="single"/>
              </w:rPr>
              <w:t xml:space="preserve">                              </w:t>
            </w:r>
          </w:p>
        </w:tc>
        <w:tc>
          <w:tcPr>
            <w:tcW w:w="1585" w:type="dxa"/>
            <w:vMerge w:val="continue"/>
          </w:tcPr>
          <w:p/>
        </w:tc>
      </w:tr>
    </w:tbl>
    <w:p>
      <w:pPr>
        <w:pStyle w:val="4"/>
      </w:pPr>
      <w:r>
        <w:rPr>
          <w:rFonts w:hint="eastAsia"/>
        </w:rPr>
        <w:t>说明：不符合标注N</w:t>
      </w:r>
    </w:p>
    <w:sectPr>
      <w:headerReference r:id="rId3" w:type="default"/>
      <w:footerReference r:id="rId4" w:type="default"/>
      <w:pgSz w:w="16838" w:h="11906" w:orient="landscape"/>
      <w:pgMar w:top="1440" w:right="1080" w:bottom="993" w:left="1080" w:header="851" w:footer="72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4"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aI1H38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119AD"/>
    <w:rsid w:val="000237F6"/>
    <w:rsid w:val="0003373A"/>
    <w:rsid w:val="000400E2"/>
    <w:rsid w:val="00057597"/>
    <w:rsid w:val="00062E46"/>
    <w:rsid w:val="00067228"/>
    <w:rsid w:val="0008031F"/>
    <w:rsid w:val="000901B7"/>
    <w:rsid w:val="00090B78"/>
    <w:rsid w:val="000C7CAD"/>
    <w:rsid w:val="000D19E5"/>
    <w:rsid w:val="000E6B21"/>
    <w:rsid w:val="00100ED0"/>
    <w:rsid w:val="00111954"/>
    <w:rsid w:val="00155C96"/>
    <w:rsid w:val="0016385F"/>
    <w:rsid w:val="00165975"/>
    <w:rsid w:val="001735BD"/>
    <w:rsid w:val="001A2AB1"/>
    <w:rsid w:val="001A2D7F"/>
    <w:rsid w:val="001B1382"/>
    <w:rsid w:val="0022251D"/>
    <w:rsid w:val="00242438"/>
    <w:rsid w:val="00267956"/>
    <w:rsid w:val="00274468"/>
    <w:rsid w:val="002939AD"/>
    <w:rsid w:val="002D6A57"/>
    <w:rsid w:val="002D782F"/>
    <w:rsid w:val="00306853"/>
    <w:rsid w:val="00310F38"/>
    <w:rsid w:val="00314AF6"/>
    <w:rsid w:val="00337922"/>
    <w:rsid w:val="00340867"/>
    <w:rsid w:val="00352533"/>
    <w:rsid w:val="00376629"/>
    <w:rsid w:val="00380837"/>
    <w:rsid w:val="00395A10"/>
    <w:rsid w:val="003A198A"/>
    <w:rsid w:val="00410914"/>
    <w:rsid w:val="004177C7"/>
    <w:rsid w:val="00420AFE"/>
    <w:rsid w:val="00424582"/>
    <w:rsid w:val="004610C1"/>
    <w:rsid w:val="0048201E"/>
    <w:rsid w:val="004F2F31"/>
    <w:rsid w:val="00506858"/>
    <w:rsid w:val="00514850"/>
    <w:rsid w:val="00517164"/>
    <w:rsid w:val="00520641"/>
    <w:rsid w:val="00522E1B"/>
    <w:rsid w:val="00536930"/>
    <w:rsid w:val="00564E53"/>
    <w:rsid w:val="0058706A"/>
    <w:rsid w:val="005C4A54"/>
    <w:rsid w:val="005D5659"/>
    <w:rsid w:val="00600C20"/>
    <w:rsid w:val="00624057"/>
    <w:rsid w:val="00630096"/>
    <w:rsid w:val="0063533A"/>
    <w:rsid w:val="00644FE2"/>
    <w:rsid w:val="00646FC8"/>
    <w:rsid w:val="00655073"/>
    <w:rsid w:val="00670CF1"/>
    <w:rsid w:val="0067640C"/>
    <w:rsid w:val="00690B7B"/>
    <w:rsid w:val="006B45BF"/>
    <w:rsid w:val="006C47CD"/>
    <w:rsid w:val="006C6A6E"/>
    <w:rsid w:val="006D0CAD"/>
    <w:rsid w:val="006D2207"/>
    <w:rsid w:val="006D28FE"/>
    <w:rsid w:val="006D3FDD"/>
    <w:rsid w:val="006E0B36"/>
    <w:rsid w:val="006E678B"/>
    <w:rsid w:val="006E7B1D"/>
    <w:rsid w:val="006F0668"/>
    <w:rsid w:val="006F422C"/>
    <w:rsid w:val="00733CA0"/>
    <w:rsid w:val="00746E5F"/>
    <w:rsid w:val="007757F3"/>
    <w:rsid w:val="00783D25"/>
    <w:rsid w:val="00796967"/>
    <w:rsid w:val="007C1B48"/>
    <w:rsid w:val="007D72FB"/>
    <w:rsid w:val="007E3B15"/>
    <w:rsid w:val="007E5037"/>
    <w:rsid w:val="007E6AEB"/>
    <w:rsid w:val="00805AF4"/>
    <w:rsid w:val="008973EE"/>
    <w:rsid w:val="008B1164"/>
    <w:rsid w:val="008C2BF8"/>
    <w:rsid w:val="008D393D"/>
    <w:rsid w:val="009622B9"/>
    <w:rsid w:val="00963FC5"/>
    <w:rsid w:val="00971600"/>
    <w:rsid w:val="009933A0"/>
    <w:rsid w:val="009973B4"/>
    <w:rsid w:val="009C28C1"/>
    <w:rsid w:val="009F7EED"/>
    <w:rsid w:val="00A01C12"/>
    <w:rsid w:val="00A102D2"/>
    <w:rsid w:val="00A12272"/>
    <w:rsid w:val="00A3335F"/>
    <w:rsid w:val="00A47BA4"/>
    <w:rsid w:val="00A60B37"/>
    <w:rsid w:val="00A71A3A"/>
    <w:rsid w:val="00A80636"/>
    <w:rsid w:val="00AB7774"/>
    <w:rsid w:val="00AF0AAB"/>
    <w:rsid w:val="00AF1F40"/>
    <w:rsid w:val="00AF7D16"/>
    <w:rsid w:val="00B224A0"/>
    <w:rsid w:val="00B46610"/>
    <w:rsid w:val="00B53F30"/>
    <w:rsid w:val="00BB3B7C"/>
    <w:rsid w:val="00BE0F6E"/>
    <w:rsid w:val="00BF597E"/>
    <w:rsid w:val="00C210A7"/>
    <w:rsid w:val="00C23E34"/>
    <w:rsid w:val="00C33C54"/>
    <w:rsid w:val="00C51A36"/>
    <w:rsid w:val="00C55228"/>
    <w:rsid w:val="00C60BDB"/>
    <w:rsid w:val="00C63768"/>
    <w:rsid w:val="00C842A5"/>
    <w:rsid w:val="00C85D67"/>
    <w:rsid w:val="00C966CA"/>
    <w:rsid w:val="00CB12E1"/>
    <w:rsid w:val="00CC3E19"/>
    <w:rsid w:val="00CE315A"/>
    <w:rsid w:val="00D03218"/>
    <w:rsid w:val="00D06F59"/>
    <w:rsid w:val="00D075CD"/>
    <w:rsid w:val="00D1780F"/>
    <w:rsid w:val="00D263DA"/>
    <w:rsid w:val="00D8388C"/>
    <w:rsid w:val="00D913EA"/>
    <w:rsid w:val="00D95637"/>
    <w:rsid w:val="00DA1A69"/>
    <w:rsid w:val="00DA328B"/>
    <w:rsid w:val="00DB05DA"/>
    <w:rsid w:val="00DD5DF1"/>
    <w:rsid w:val="00DE42E6"/>
    <w:rsid w:val="00E02525"/>
    <w:rsid w:val="00E04F41"/>
    <w:rsid w:val="00E05DE1"/>
    <w:rsid w:val="00E277F2"/>
    <w:rsid w:val="00E6224C"/>
    <w:rsid w:val="00E70863"/>
    <w:rsid w:val="00E8121A"/>
    <w:rsid w:val="00E95A4D"/>
    <w:rsid w:val="00EB0164"/>
    <w:rsid w:val="00ED0F62"/>
    <w:rsid w:val="00F029B1"/>
    <w:rsid w:val="00F37C2A"/>
    <w:rsid w:val="00F573A6"/>
    <w:rsid w:val="00F77C4E"/>
    <w:rsid w:val="00FE3EEF"/>
    <w:rsid w:val="011B7BAC"/>
    <w:rsid w:val="01260C71"/>
    <w:rsid w:val="0148246F"/>
    <w:rsid w:val="01E27364"/>
    <w:rsid w:val="02203F02"/>
    <w:rsid w:val="0228580F"/>
    <w:rsid w:val="026A697D"/>
    <w:rsid w:val="028120F9"/>
    <w:rsid w:val="02C75A20"/>
    <w:rsid w:val="03085664"/>
    <w:rsid w:val="0326784C"/>
    <w:rsid w:val="03282C44"/>
    <w:rsid w:val="032F5195"/>
    <w:rsid w:val="03373FF4"/>
    <w:rsid w:val="03504EFA"/>
    <w:rsid w:val="036737B4"/>
    <w:rsid w:val="03A0688A"/>
    <w:rsid w:val="03A32F8E"/>
    <w:rsid w:val="03AC3D8E"/>
    <w:rsid w:val="03CE483E"/>
    <w:rsid w:val="03CF54E8"/>
    <w:rsid w:val="03FF3D01"/>
    <w:rsid w:val="0405614C"/>
    <w:rsid w:val="042332AF"/>
    <w:rsid w:val="044125D6"/>
    <w:rsid w:val="04883DB3"/>
    <w:rsid w:val="04981EC9"/>
    <w:rsid w:val="04C420B7"/>
    <w:rsid w:val="050D3D1E"/>
    <w:rsid w:val="05422E8D"/>
    <w:rsid w:val="056577F0"/>
    <w:rsid w:val="05705C5F"/>
    <w:rsid w:val="059C20C3"/>
    <w:rsid w:val="059F2D1F"/>
    <w:rsid w:val="05A05014"/>
    <w:rsid w:val="05F6270F"/>
    <w:rsid w:val="0605101B"/>
    <w:rsid w:val="06120F24"/>
    <w:rsid w:val="0618393F"/>
    <w:rsid w:val="061B4460"/>
    <w:rsid w:val="067B702D"/>
    <w:rsid w:val="06994A8D"/>
    <w:rsid w:val="06AA7E97"/>
    <w:rsid w:val="06ED612A"/>
    <w:rsid w:val="0700448C"/>
    <w:rsid w:val="07816B84"/>
    <w:rsid w:val="07C13D29"/>
    <w:rsid w:val="07ED0401"/>
    <w:rsid w:val="081B6228"/>
    <w:rsid w:val="08767210"/>
    <w:rsid w:val="0884117F"/>
    <w:rsid w:val="08851DD7"/>
    <w:rsid w:val="088F3342"/>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BEB790E"/>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34030"/>
    <w:rsid w:val="0FBB3782"/>
    <w:rsid w:val="0FDE4D72"/>
    <w:rsid w:val="0FFA42BF"/>
    <w:rsid w:val="100B6D7F"/>
    <w:rsid w:val="100D075A"/>
    <w:rsid w:val="106A3497"/>
    <w:rsid w:val="108219C2"/>
    <w:rsid w:val="10991918"/>
    <w:rsid w:val="10A120FB"/>
    <w:rsid w:val="10AB5B5F"/>
    <w:rsid w:val="10BB7F49"/>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656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412DF"/>
    <w:rsid w:val="15597511"/>
    <w:rsid w:val="155F4281"/>
    <w:rsid w:val="15A07F69"/>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11657"/>
    <w:rsid w:val="193C2BA0"/>
    <w:rsid w:val="19444428"/>
    <w:rsid w:val="19553BF7"/>
    <w:rsid w:val="197008AF"/>
    <w:rsid w:val="19746F33"/>
    <w:rsid w:val="197E61C1"/>
    <w:rsid w:val="198F29B9"/>
    <w:rsid w:val="19CF27D5"/>
    <w:rsid w:val="19D74BC7"/>
    <w:rsid w:val="19FD49DB"/>
    <w:rsid w:val="1A041A8F"/>
    <w:rsid w:val="1A0822F2"/>
    <w:rsid w:val="1A3941A5"/>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B42B9"/>
    <w:rsid w:val="1D133E38"/>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7728BA"/>
    <w:rsid w:val="20A856C1"/>
    <w:rsid w:val="20BE1D38"/>
    <w:rsid w:val="20E1795A"/>
    <w:rsid w:val="20E77C6E"/>
    <w:rsid w:val="21A07B88"/>
    <w:rsid w:val="21A34258"/>
    <w:rsid w:val="21D24208"/>
    <w:rsid w:val="221D7005"/>
    <w:rsid w:val="226B2F60"/>
    <w:rsid w:val="22813299"/>
    <w:rsid w:val="229F2D1A"/>
    <w:rsid w:val="23363714"/>
    <w:rsid w:val="23461CA8"/>
    <w:rsid w:val="23873465"/>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243023"/>
    <w:rsid w:val="25555188"/>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A2348C"/>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436E8"/>
    <w:rsid w:val="2B1D2572"/>
    <w:rsid w:val="2B206A2D"/>
    <w:rsid w:val="2B4C1179"/>
    <w:rsid w:val="2B5D0EFC"/>
    <w:rsid w:val="2B6C36BA"/>
    <w:rsid w:val="2B7B0583"/>
    <w:rsid w:val="2BD60481"/>
    <w:rsid w:val="2BEA3FA7"/>
    <w:rsid w:val="2BED2836"/>
    <w:rsid w:val="2C2E44D4"/>
    <w:rsid w:val="2C7B6C71"/>
    <w:rsid w:val="2CE67CB5"/>
    <w:rsid w:val="2D095658"/>
    <w:rsid w:val="2D357F0D"/>
    <w:rsid w:val="2D4E604F"/>
    <w:rsid w:val="2D5C2AB0"/>
    <w:rsid w:val="2D7A20E6"/>
    <w:rsid w:val="2D7B66E3"/>
    <w:rsid w:val="2D913577"/>
    <w:rsid w:val="2D9A3020"/>
    <w:rsid w:val="2DC57805"/>
    <w:rsid w:val="2DD2484B"/>
    <w:rsid w:val="2DDF08DF"/>
    <w:rsid w:val="2DFF79D8"/>
    <w:rsid w:val="2E367C56"/>
    <w:rsid w:val="2E440885"/>
    <w:rsid w:val="2E4875EB"/>
    <w:rsid w:val="2EEE512C"/>
    <w:rsid w:val="2F7C571D"/>
    <w:rsid w:val="2FA86B66"/>
    <w:rsid w:val="2FE823A5"/>
    <w:rsid w:val="2FEA1C57"/>
    <w:rsid w:val="300172B8"/>
    <w:rsid w:val="30284CE9"/>
    <w:rsid w:val="30945277"/>
    <w:rsid w:val="309F7778"/>
    <w:rsid w:val="30C1548B"/>
    <w:rsid w:val="30C36ECA"/>
    <w:rsid w:val="30C71DD4"/>
    <w:rsid w:val="30DC7CB1"/>
    <w:rsid w:val="30ED30CC"/>
    <w:rsid w:val="31064141"/>
    <w:rsid w:val="31B477DB"/>
    <w:rsid w:val="31B67BE2"/>
    <w:rsid w:val="31CA71DD"/>
    <w:rsid w:val="31FC03E5"/>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F92D63"/>
    <w:rsid w:val="35527F1F"/>
    <w:rsid w:val="357914C0"/>
    <w:rsid w:val="35994264"/>
    <w:rsid w:val="35D721CD"/>
    <w:rsid w:val="36174333"/>
    <w:rsid w:val="3623081B"/>
    <w:rsid w:val="362B5212"/>
    <w:rsid w:val="364A3F09"/>
    <w:rsid w:val="367A501B"/>
    <w:rsid w:val="36B26023"/>
    <w:rsid w:val="36C91110"/>
    <w:rsid w:val="37072C0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432F9"/>
    <w:rsid w:val="38EC325F"/>
    <w:rsid w:val="39065B84"/>
    <w:rsid w:val="39286E54"/>
    <w:rsid w:val="394A5FEF"/>
    <w:rsid w:val="39583D6A"/>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4F499C"/>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4956D9"/>
    <w:rsid w:val="3F532B3A"/>
    <w:rsid w:val="3F654598"/>
    <w:rsid w:val="3F8E03C8"/>
    <w:rsid w:val="3FC72695"/>
    <w:rsid w:val="3FD70A70"/>
    <w:rsid w:val="3FD720B5"/>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41628"/>
    <w:rsid w:val="427A1188"/>
    <w:rsid w:val="432A5E11"/>
    <w:rsid w:val="432E476D"/>
    <w:rsid w:val="433A3EC8"/>
    <w:rsid w:val="433B1167"/>
    <w:rsid w:val="4352128B"/>
    <w:rsid w:val="435F500F"/>
    <w:rsid w:val="43C730CD"/>
    <w:rsid w:val="44350F69"/>
    <w:rsid w:val="44A567F5"/>
    <w:rsid w:val="44C477FF"/>
    <w:rsid w:val="453B1EBC"/>
    <w:rsid w:val="45635AEC"/>
    <w:rsid w:val="45752315"/>
    <w:rsid w:val="45BA54FA"/>
    <w:rsid w:val="45C810D7"/>
    <w:rsid w:val="45EC74A5"/>
    <w:rsid w:val="45FA6B69"/>
    <w:rsid w:val="460414DD"/>
    <w:rsid w:val="46114E42"/>
    <w:rsid w:val="46332B60"/>
    <w:rsid w:val="4654705C"/>
    <w:rsid w:val="468D2C1F"/>
    <w:rsid w:val="468D3CA5"/>
    <w:rsid w:val="46A51AB4"/>
    <w:rsid w:val="46EA7997"/>
    <w:rsid w:val="46EF32C7"/>
    <w:rsid w:val="470243E7"/>
    <w:rsid w:val="471F1498"/>
    <w:rsid w:val="47271944"/>
    <w:rsid w:val="473E10CC"/>
    <w:rsid w:val="475C4BFE"/>
    <w:rsid w:val="475D7730"/>
    <w:rsid w:val="47BB044C"/>
    <w:rsid w:val="48262DE5"/>
    <w:rsid w:val="485226C4"/>
    <w:rsid w:val="48AA434D"/>
    <w:rsid w:val="48ED577E"/>
    <w:rsid w:val="49223F8E"/>
    <w:rsid w:val="495D1E4B"/>
    <w:rsid w:val="49912790"/>
    <w:rsid w:val="49C0281D"/>
    <w:rsid w:val="49E3211A"/>
    <w:rsid w:val="49E449BF"/>
    <w:rsid w:val="49EC77B8"/>
    <w:rsid w:val="49ED5B1C"/>
    <w:rsid w:val="49FF4FE5"/>
    <w:rsid w:val="4A8610DE"/>
    <w:rsid w:val="4AD45EF1"/>
    <w:rsid w:val="4AE04A18"/>
    <w:rsid w:val="4B337454"/>
    <w:rsid w:val="4B407CC6"/>
    <w:rsid w:val="4B42232B"/>
    <w:rsid w:val="4B572896"/>
    <w:rsid w:val="4B814A86"/>
    <w:rsid w:val="4B825A76"/>
    <w:rsid w:val="4B8B3702"/>
    <w:rsid w:val="4B9B0D7E"/>
    <w:rsid w:val="4BC83B65"/>
    <w:rsid w:val="4C0C3B65"/>
    <w:rsid w:val="4C204239"/>
    <w:rsid w:val="4C247C80"/>
    <w:rsid w:val="4CA74E41"/>
    <w:rsid w:val="4CA91B51"/>
    <w:rsid w:val="4CB62537"/>
    <w:rsid w:val="4CD2365B"/>
    <w:rsid w:val="4D352804"/>
    <w:rsid w:val="4D374D03"/>
    <w:rsid w:val="4D791805"/>
    <w:rsid w:val="4D897910"/>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A77D30"/>
    <w:rsid w:val="52BA5471"/>
    <w:rsid w:val="52CC19B1"/>
    <w:rsid w:val="52D871F4"/>
    <w:rsid w:val="52F263D6"/>
    <w:rsid w:val="53024EB7"/>
    <w:rsid w:val="531F2139"/>
    <w:rsid w:val="53261795"/>
    <w:rsid w:val="534F62F7"/>
    <w:rsid w:val="53660E02"/>
    <w:rsid w:val="536F60C1"/>
    <w:rsid w:val="53953BE7"/>
    <w:rsid w:val="53A84CDF"/>
    <w:rsid w:val="53DB2F56"/>
    <w:rsid w:val="53F51637"/>
    <w:rsid w:val="54124FEF"/>
    <w:rsid w:val="541C4B67"/>
    <w:rsid w:val="543757DC"/>
    <w:rsid w:val="54A431C6"/>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567A66"/>
    <w:rsid w:val="5978735A"/>
    <w:rsid w:val="59E42114"/>
    <w:rsid w:val="59E710C8"/>
    <w:rsid w:val="5A1C59A1"/>
    <w:rsid w:val="5A407674"/>
    <w:rsid w:val="5A432974"/>
    <w:rsid w:val="5A67161C"/>
    <w:rsid w:val="5A6A20C5"/>
    <w:rsid w:val="5A814E07"/>
    <w:rsid w:val="5AD64AF2"/>
    <w:rsid w:val="5AF377C8"/>
    <w:rsid w:val="5B0449BC"/>
    <w:rsid w:val="5B513157"/>
    <w:rsid w:val="5B517209"/>
    <w:rsid w:val="5B544EB3"/>
    <w:rsid w:val="5B6A33DD"/>
    <w:rsid w:val="5B7C5AEB"/>
    <w:rsid w:val="5BF04FFA"/>
    <w:rsid w:val="5C1F31CC"/>
    <w:rsid w:val="5C241AEE"/>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67195E"/>
    <w:rsid w:val="6177086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51820"/>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23D0E"/>
    <w:rsid w:val="67350479"/>
    <w:rsid w:val="675A3B6C"/>
    <w:rsid w:val="678B4DA6"/>
    <w:rsid w:val="67940100"/>
    <w:rsid w:val="67AF7DB6"/>
    <w:rsid w:val="680564C6"/>
    <w:rsid w:val="681B3F7A"/>
    <w:rsid w:val="68233428"/>
    <w:rsid w:val="68494570"/>
    <w:rsid w:val="68B54AF7"/>
    <w:rsid w:val="68BB527D"/>
    <w:rsid w:val="68C96D98"/>
    <w:rsid w:val="68CA009F"/>
    <w:rsid w:val="68D402C9"/>
    <w:rsid w:val="68D670D7"/>
    <w:rsid w:val="68E43EF4"/>
    <w:rsid w:val="68F220EA"/>
    <w:rsid w:val="695B5920"/>
    <w:rsid w:val="69B35A0D"/>
    <w:rsid w:val="69CC607C"/>
    <w:rsid w:val="69EA1163"/>
    <w:rsid w:val="69F96768"/>
    <w:rsid w:val="6A287F98"/>
    <w:rsid w:val="6A657B3D"/>
    <w:rsid w:val="6AB40496"/>
    <w:rsid w:val="6ABD1D5E"/>
    <w:rsid w:val="6AC0289E"/>
    <w:rsid w:val="6AF33939"/>
    <w:rsid w:val="6B0F60AF"/>
    <w:rsid w:val="6B3E030B"/>
    <w:rsid w:val="6B795D62"/>
    <w:rsid w:val="6B894EA4"/>
    <w:rsid w:val="6BC747F5"/>
    <w:rsid w:val="6BD35CE4"/>
    <w:rsid w:val="6BF66D35"/>
    <w:rsid w:val="6C1272FC"/>
    <w:rsid w:val="6C3014BE"/>
    <w:rsid w:val="6C572C3A"/>
    <w:rsid w:val="6C5D414F"/>
    <w:rsid w:val="6C77423E"/>
    <w:rsid w:val="6C9C2F85"/>
    <w:rsid w:val="6CDE17FD"/>
    <w:rsid w:val="6CF21452"/>
    <w:rsid w:val="6D1D2C91"/>
    <w:rsid w:val="6D232D3C"/>
    <w:rsid w:val="6D2F5D1E"/>
    <w:rsid w:val="6D5B4A2E"/>
    <w:rsid w:val="6D792112"/>
    <w:rsid w:val="6DA004EB"/>
    <w:rsid w:val="6DC80840"/>
    <w:rsid w:val="6DE309B5"/>
    <w:rsid w:val="6E361108"/>
    <w:rsid w:val="6E641038"/>
    <w:rsid w:val="6EB36C33"/>
    <w:rsid w:val="6EBD0EA6"/>
    <w:rsid w:val="6F2E7208"/>
    <w:rsid w:val="6F435405"/>
    <w:rsid w:val="6F4810D8"/>
    <w:rsid w:val="6F6D2BAA"/>
    <w:rsid w:val="6F8F30D4"/>
    <w:rsid w:val="6F9A4A47"/>
    <w:rsid w:val="6FDC792B"/>
    <w:rsid w:val="70132516"/>
    <w:rsid w:val="701710D0"/>
    <w:rsid w:val="702520EE"/>
    <w:rsid w:val="703777AC"/>
    <w:rsid w:val="70795456"/>
    <w:rsid w:val="709946EC"/>
    <w:rsid w:val="712A7244"/>
    <w:rsid w:val="724908DF"/>
    <w:rsid w:val="724D262A"/>
    <w:rsid w:val="72702455"/>
    <w:rsid w:val="728F2E47"/>
    <w:rsid w:val="72973011"/>
    <w:rsid w:val="72CD6505"/>
    <w:rsid w:val="72E42D1B"/>
    <w:rsid w:val="730C52E1"/>
    <w:rsid w:val="734F0911"/>
    <w:rsid w:val="736054C4"/>
    <w:rsid w:val="736C572D"/>
    <w:rsid w:val="73A422EB"/>
    <w:rsid w:val="73C80EF6"/>
    <w:rsid w:val="74103E55"/>
    <w:rsid w:val="74456E15"/>
    <w:rsid w:val="745B622A"/>
    <w:rsid w:val="745C6825"/>
    <w:rsid w:val="753E2D2E"/>
    <w:rsid w:val="753F2F7D"/>
    <w:rsid w:val="75860CEA"/>
    <w:rsid w:val="75DB13A5"/>
    <w:rsid w:val="75E552E3"/>
    <w:rsid w:val="7648538B"/>
    <w:rsid w:val="76531223"/>
    <w:rsid w:val="76B776F3"/>
    <w:rsid w:val="76BD747C"/>
    <w:rsid w:val="76CD52EB"/>
    <w:rsid w:val="76FE004A"/>
    <w:rsid w:val="76FE62D0"/>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A84888"/>
    <w:rsid w:val="79BC4873"/>
    <w:rsid w:val="79D339B9"/>
    <w:rsid w:val="7A04309C"/>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687304"/>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4"/>
    <w:qFormat/>
    <w:uiPriority w:val="99"/>
    <w:rPr>
      <w:rFonts w:ascii="Times New Roman" w:hAnsi="Times New Roman" w:eastAsia="宋体" w:cs="Times New Roman"/>
      <w:sz w:val="18"/>
      <w:szCs w:val="18"/>
    </w:rPr>
  </w:style>
  <w:style w:type="character" w:customStyle="1" w:styleId="12">
    <w:name w:val="批注框文本 字符"/>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1012</Words>
  <Characters>5772</Characters>
  <Lines>48</Lines>
  <Paragraphs>13</Paragraphs>
  <TotalTime>0</TotalTime>
  <ScaleCrop>false</ScaleCrop>
  <LinksUpToDate>false</LinksUpToDate>
  <CharactersWithSpaces>6771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2020-07-17T22:55:00Z</dcterms:created>
  <dc:creator>微软用户</dc:creator>
  <cp:lastModifiedBy>lenovo</cp:lastModifiedBy>
  <dcterms:modified xsi:type="dcterms:W3CDTF">2021-06-20T02:36:43Z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E8A1903FD9A8433C87F7587FCF57B411</vt:lpwstr>
  </property>
</Properties>
</file>