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hint="default" w:eastAsia="宋体"/>
          <w:b/>
          <w:sz w:val="22"/>
          <w:szCs w:val="22"/>
          <w:lang w:val="en-US" w:eastAsia="zh-CN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E</w:t>
      </w:r>
      <w:r>
        <w:rPr>
          <w:rFonts w:hint="eastAsia"/>
          <w:b/>
          <w:sz w:val="22"/>
          <w:szCs w:val="22"/>
          <w:lang w:val="en-US" w:eastAsia="zh-CN"/>
        </w:rPr>
        <w:t>n</w:t>
      </w:r>
      <w:r>
        <w:rPr>
          <w:b/>
          <w:sz w:val="22"/>
          <w:szCs w:val="22"/>
        </w:rPr>
        <w:t>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8"/>
        <w:gridCol w:w="125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沙洋弘润建材有限公司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2.10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57150</wp:posOffset>
                  </wp:positionV>
                  <wp:extent cx="622300" cy="312420"/>
                  <wp:effectExtent l="0" t="0" r="0" b="5080"/>
                  <wp:wrapSquare wrapText="bothSides"/>
                  <wp:docPr id="2" name="图片 2" descr="e18f9f5b39c50039854ac9cd0ec7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18f9f5b39c50039854ac9cd0ec74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126365</wp:posOffset>
                  </wp:positionV>
                  <wp:extent cx="5146040" cy="2319020"/>
                  <wp:effectExtent l="0" t="0" r="10160" b="5080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6040" cy="231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主要能耗设备、主要计量设备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主要能耗设备：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原料工段：电磁振动给料机、斗式提升机、带式输送机、混合机；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熔化工段：斜毯式投料机、浮法玻璃熔窑、玻璃液水平搅拌机、深层水包、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主要计量设备：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电子汽车衡、电度表、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能源种类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石油焦、电力；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1、中华人民共和国节约能源法；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2、中华人民共和国计量法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3、GB/T15587:1995 工业企业能源管理导则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4、GB/T2589:2018 综合能耗计算通则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5、GB/T13234:1991 企业节能量计算方法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6、GB/T3484:1993 企业能量平衡通则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7、GB/T3794:1993 企业能量平衡技术考核验收标准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8、GB21340-2019《玻璃和铸石单位产品能源消耗限额》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9、《国务院关于加强节能工作的决定》（国发【2006】28号）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10、《国务院关于印发“十二五”节能减排综合性工作方案的通知》（国发【2011】26号）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11、《国务院关于印发“十二五”节能环保产业发展规划的通知》（国发【2012】19号）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12、《国务院关于进一步加强节油节电工作的通知》（国发【2008】23号）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13、《湖北省应对气候变化和节能“十三五”规划》（2016年11月19日）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14、《关于印发湖北省可再生能源发展“十三五”规划的通知》（鄂发改能源【2017】194号）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4378325</wp:posOffset>
            </wp:positionH>
            <wp:positionV relativeFrom="page">
              <wp:posOffset>1554480</wp:posOffset>
            </wp:positionV>
            <wp:extent cx="570230" cy="435610"/>
            <wp:effectExtent l="0" t="0" r="1270" b="8890"/>
            <wp:wrapSquare wrapText="bothSides"/>
            <wp:docPr id="1" name="图片 3" descr="15539996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553999692(1)"/>
                    <pic:cNvPicPr>
                      <a:picLocks noChangeAspect="1"/>
                    </pic:cNvPicPr>
                  </pic:nvPicPr>
                  <pic:blipFill>
                    <a:blip r:embed="rId7">
                      <a:lum bright="35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78105</wp:posOffset>
            </wp:positionV>
            <wp:extent cx="622300" cy="312420"/>
            <wp:effectExtent l="0" t="0" r="0" b="5080"/>
            <wp:wrapSquare wrapText="bothSides"/>
            <wp:docPr id="6" name="图片 6" descr="e18f9f5b39c50039854ac9cd0ec7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18f9f5b39c50039854ac9cd0ec7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2021.6.15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2021.6.15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1614CA"/>
    <w:rsid w:val="798B08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7</TotalTime>
  <ScaleCrop>false</ScaleCrop>
  <LinksUpToDate>false</LinksUpToDate>
  <CharactersWithSpaces>314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2021-06-20T06:41:20Z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5D74AC288EE1444E8C62DDCF28BCF56B</vt:lpwstr>
  </property>
</Properties>
</file>