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0396-2020-QEO-2021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0" t="0" r="5080" b="508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云南欧尚邦顿科技有限公司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云南欧尚邦顿科技有限公司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云南省昆明经开区信息产业基地拓翔路205号附3号办公楼2层1室</w:t>
            </w:r>
            <w:bookmarkEnd w:id="6"/>
          </w:p>
        </w:tc>
        <w:tc>
          <w:tcPr>
            <w:tcW w:w="1242" w:type="dxa"/>
            <w:vMerge w:val="restart"/>
            <w:vAlign w:val="center"/>
          </w:tcPr>
          <w:p>
            <w:r>
              <w:rPr>
                <w:rFonts w:hint="eastAsia"/>
              </w:rPr>
              <w:t>邮编</w:t>
            </w:r>
          </w:p>
        </w:tc>
        <w:tc>
          <w:tcPr>
            <w:tcW w:w="1771" w:type="dxa"/>
          </w:tcPr>
          <w:p>
            <w:bookmarkStart w:id="7" w:name="注册邮编"/>
            <w:r>
              <w:t>650200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云南省昆明经开区出口加工区第三城映象欣城B2幢11层1101室</w:t>
            </w:r>
            <w:bookmarkEnd w:id="8"/>
          </w:p>
        </w:tc>
        <w:tc>
          <w:tcPr>
            <w:tcW w:w="1242" w:type="dxa"/>
            <w:vMerge w:val="continue"/>
            <w:vAlign w:val="center"/>
          </w:tcPr>
          <w:p/>
        </w:tc>
        <w:tc>
          <w:tcPr>
            <w:tcW w:w="1771" w:type="dxa"/>
          </w:tcPr>
          <w:p>
            <w:bookmarkStart w:id="9" w:name="办公邮编"/>
            <w:r>
              <w:t>650200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贾晓东</w:t>
            </w:r>
            <w:bookmarkEnd w:id="10"/>
          </w:p>
        </w:tc>
        <w:tc>
          <w:tcPr>
            <w:tcW w:w="1313" w:type="dxa"/>
            <w:vAlign w:val="center"/>
          </w:tcPr>
          <w:p>
            <w:r>
              <w:rPr>
                <w:rFonts w:hint="eastAsia"/>
              </w:rPr>
              <w:t>电话.</w:t>
            </w:r>
          </w:p>
        </w:tc>
        <w:tc>
          <w:tcPr>
            <w:tcW w:w="2180" w:type="dxa"/>
            <w:vAlign w:val="center"/>
          </w:tcPr>
          <w:p>
            <w:bookmarkStart w:id="11" w:name="联系人电话"/>
            <w:r>
              <w:t>15925186272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贾晓东</w:t>
            </w:r>
            <w:bookmarkEnd w:id="13"/>
          </w:p>
        </w:tc>
        <w:tc>
          <w:tcPr>
            <w:tcW w:w="1313" w:type="dxa"/>
            <w:vAlign w:val="center"/>
          </w:tcPr>
          <w:p>
            <w:r>
              <w:rPr>
                <w:rFonts w:hint="eastAsia"/>
              </w:rPr>
              <w:t>管理者代表</w:t>
            </w:r>
          </w:p>
        </w:tc>
        <w:tc>
          <w:tcPr>
            <w:tcW w:w="2180" w:type="dxa"/>
          </w:tcPr>
          <w:p>
            <w:bookmarkStart w:id="14" w:name="管理者代表"/>
            <w:r>
              <w:t>王鸷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销售流程：客户接触----合同评审----签订合同-----客户付款------入帐------采购-----客户提货-----验收</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2021年09月04日 上午至2021年09月06日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Q：仪器仪表及配件的销售</w:t>
            </w:r>
          </w:p>
          <w:p>
            <w:pPr>
              <w:rPr>
                <w:rFonts w:hint="eastAsia"/>
              </w:rPr>
            </w:pPr>
            <w:r>
              <w:rPr>
                <w:rFonts w:hint="eastAsia"/>
              </w:rPr>
              <w:t>E：仪器仪表及配件的销售及相关环境管理活动</w:t>
            </w:r>
          </w:p>
          <w:p>
            <w:pPr>
              <w:rPr>
                <w:rFonts w:hint="eastAsia"/>
              </w:rPr>
            </w:pPr>
            <w:r>
              <w:rPr>
                <w:rFonts w:hint="eastAsia"/>
              </w:rPr>
              <w:t>O：仪器仪表及配件的销售及相关职业健康安全管理活动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w:t>
            </w:r>
          </w:p>
          <w:p>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zh-CN"/>
              </w:rPr>
              <w:t>2020年3月10日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b/>
                <w:color w:val="000000" w:themeColor="text1"/>
                <w:spacing w:val="-10"/>
                <w:szCs w:val="21"/>
                <w:lang w:val="en-US" w:eastAsia="zh-CN"/>
              </w:rPr>
              <w:t>2020年8月28日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8</w:t>
            </w:r>
            <w:r>
              <w:rPr>
                <w:rFonts w:hint="eastAsia"/>
              </w:rPr>
              <w:t>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48"/>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48" w:type="dxa"/>
            <w:shd w:val="clear" w:color="auto" w:fill="F3F3F3"/>
            <w:tcMar>
              <w:left w:w="57" w:type="dxa"/>
              <w:right w:w="57" w:type="dxa"/>
            </w:tcMar>
          </w:tcPr>
          <w:p>
            <w:r>
              <w:rPr>
                <w:rFonts w:hint="eastAsia"/>
              </w:rPr>
              <w:t>审核范围（产品和过程）</w:t>
            </w:r>
          </w:p>
          <w:p/>
          <w:p/>
        </w:tc>
        <w:tc>
          <w:tcPr>
            <w:tcW w:w="182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云南欧尚邦顿科技有限公司</w:t>
            </w:r>
          </w:p>
          <w:p>
            <w:pPr>
              <w:pStyle w:val="11"/>
              <w:rPr>
                <w:lang w:val="de-DE" w:eastAsia="ja-JP"/>
              </w:rPr>
            </w:pPr>
            <w:r>
              <w:rPr>
                <w:rFonts w:ascii="宋体" w:hAnsi="宋体"/>
                <w:b/>
                <w:color w:val="000000" w:themeColor="text1"/>
                <w:sz w:val="20"/>
                <w:szCs w:val="20"/>
              </w:rPr>
              <w:t>云南省昆明经开区出口加工区第三城映象欣城B2幢11层1101室</w:t>
            </w:r>
          </w:p>
        </w:tc>
        <w:tc>
          <w:tcPr>
            <w:tcW w:w="2267" w:type="dxa"/>
          </w:tcPr>
          <w:p>
            <w:pPr>
              <w:rPr>
                <w:lang w:val="de-DE" w:eastAsia="ja-JP"/>
              </w:rPr>
            </w:pPr>
            <w:r>
              <w:rPr>
                <w:rFonts w:ascii="宋体" w:hAnsi="宋体"/>
                <w:b/>
                <w:color w:val="000000" w:themeColor="text1"/>
                <w:sz w:val="20"/>
                <w:szCs w:val="20"/>
              </w:rPr>
              <w:t>云南省昆明经开区出口加工区第三城映象欣城B2幢11层1101室</w:t>
            </w:r>
          </w:p>
        </w:tc>
        <w:tc>
          <w:tcPr>
            <w:tcW w:w="571" w:type="dxa"/>
            <w:vAlign w:val="center"/>
          </w:tcPr>
          <w:p>
            <w:pPr>
              <w:rPr>
                <w:rFonts w:hint="eastAsia" w:eastAsia="宋体"/>
                <w:lang w:val="en-US" w:eastAsia="zh-CN"/>
              </w:rPr>
            </w:pPr>
            <w:r>
              <w:rPr>
                <w:rFonts w:hint="eastAsia"/>
                <w:lang w:val="en-US" w:eastAsia="zh-CN"/>
              </w:rPr>
              <w:t>7</w:t>
            </w:r>
          </w:p>
        </w:tc>
        <w:tc>
          <w:tcPr>
            <w:tcW w:w="1648" w:type="dxa"/>
            <w:vAlign w:val="center"/>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Q：仪器仪表及配件的销售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E：仪器仪表及配件的销售及相关环境管理活动</w:t>
            </w:r>
          </w:p>
          <w:p>
            <w:pPr>
              <w:rPr>
                <w:lang w:eastAsia="ja-JP"/>
              </w:rPr>
            </w:pPr>
            <w:r>
              <w:rPr>
                <w:rFonts w:ascii="宋体" w:hAnsi="宋体"/>
                <w:b/>
                <w:color w:val="000000" w:themeColor="text1"/>
                <w:sz w:val="20"/>
                <w:szCs w:val="20"/>
              </w:rPr>
              <w:t>O：仪器仪表及配件的销售及相关职业健康安全管理活动</w:t>
            </w:r>
          </w:p>
        </w:tc>
        <w:tc>
          <w:tcPr>
            <w:tcW w:w="1824" w:type="dxa"/>
            <w:vAlign w:val="center"/>
          </w:tcPr>
          <w:p>
            <w:pPr>
              <w:rPr>
                <w:rFonts w:hint="eastAsia" w:ascii="宋体" w:hAnsi="宋体"/>
                <w:b/>
                <w:color w:val="000000" w:themeColor="text1"/>
                <w:spacing w:val="-10"/>
                <w:sz w:val="20"/>
                <w:szCs w:val="20"/>
              </w:rPr>
            </w:pPr>
            <w:bookmarkStart w:id="31" w:name="审核依据"/>
            <w:r>
              <w:rPr>
                <w:rFonts w:hint="eastAsia" w:ascii="宋体" w:hAnsi="宋体"/>
                <w:b/>
                <w:color w:val="000000" w:themeColor="text1"/>
                <w:spacing w:val="-10"/>
                <w:sz w:val="20"/>
                <w:szCs w:val="20"/>
              </w:rPr>
              <w:t>Q：GB/T19001-2016/E：GB/T 24001-2016</w:t>
            </w:r>
          </w:p>
          <w:p>
            <w:pPr>
              <w:rPr>
                <w:lang w:eastAsia="ja-JP"/>
              </w:rPr>
            </w:pPr>
            <w:r>
              <w:rPr>
                <w:rFonts w:hint="eastAsia" w:ascii="宋体" w:hAnsi="宋体"/>
                <w:b/>
                <w:color w:val="000000" w:themeColor="text1"/>
                <w:spacing w:val="-10"/>
                <w:sz w:val="20"/>
                <w:szCs w:val="20"/>
              </w:rPr>
              <w:t xml:space="preserve">O：GB/T45001-2020 </w:t>
            </w:r>
            <w:bookmarkEnd w:id="31"/>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48" w:type="dxa"/>
            <w:vAlign w:val="center"/>
          </w:tcPr>
          <w:p>
            <w:pPr>
              <w:rPr>
                <w:lang w:eastAsia="ja-JP"/>
              </w:rPr>
            </w:pPr>
          </w:p>
        </w:tc>
        <w:tc>
          <w:tcPr>
            <w:tcW w:w="18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48" w:type="dxa"/>
            <w:vAlign w:val="center"/>
          </w:tcPr>
          <w:p>
            <w:pPr>
              <w:rPr>
                <w:lang w:eastAsia="ja-JP"/>
              </w:rPr>
            </w:pPr>
          </w:p>
        </w:tc>
        <w:tc>
          <w:tcPr>
            <w:tcW w:w="18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48" w:type="dxa"/>
            <w:vAlign w:val="center"/>
          </w:tcPr>
          <w:p>
            <w:pPr>
              <w:rPr>
                <w:lang w:eastAsia="ja-JP"/>
              </w:rPr>
            </w:pPr>
          </w:p>
        </w:tc>
        <w:tc>
          <w:tcPr>
            <w:tcW w:w="18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48" w:type="dxa"/>
            <w:vAlign w:val="center"/>
          </w:tcPr>
          <w:p>
            <w:pPr>
              <w:rPr>
                <w:lang w:eastAsia="ja-JP"/>
              </w:rPr>
            </w:pPr>
          </w:p>
        </w:tc>
        <w:tc>
          <w:tcPr>
            <w:tcW w:w="182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2021-N0OHSMS-1263375</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人员能力 □检测水平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u w:val="single"/>
              </w:rPr>
            </w:pPr>
            <w:r>
              <w:rPr>
                <w:rFonts w:hint="eastAsia"/>
              </w:rPr>
              <w:t>最高管理者制定了文件化的管理体系方针：</w:t>
            </w:r>
            <w:r>
              <w:rPr>
                <w:rFonts w:hint="eastAsia"/>
                <w:u w:val="single"/>
              </w:rPr>
              <w:t xml:space="preserve">   守法诚信追求质量，预防污染保护环境；</w:t>
            </w:r>
          </w:p>
          <w:p>
            <w:pPr>
              <w:shd w:val="clear" w:color="auto" w:fill="C7DAF1" w:themeFill="text2" w:themeFillTint="32"/>
              <w:rPr>
                <w:rFonts w:hint="eastAsia"/>
                <w:u w:val="single"/>
              </w:rPr>
            </w:pPr>
            <w:r>
              <w:rPr>
                <w:rFonts w:hint="eastAsia"/>
                <w:u w:val="single"/>
              </w:rPr>
              <w:t xml:space="preserve">   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公司属于销售行业，主要客户为各企事业单位，及个体经营者、厂区，有产业和政策调整的风险较小。</w:t>
                  </w:r>
                </w:p>
              </w:tc>
              <w:tc>
                <w:tcPr>
                  <w:tcW w:w="3965" w:type="dxa"/>
                </w:tcPr>
                <w:p>
                  <w:pPr>
                    <w:shd w:val="clear" w:color="auto" w:fill="C7DAF1" w:themeFill="text2" w:themeFillTint="32"/>
                  </w:pPr>
                  <w:r>
                    <w:rPr>
                      <w:rFonts w:hint="eastAsia"/>
                    </w:rPr>
                    <w:t>但为了防止未来有可能发生改变的政策，企业拟在其它类型的工作业务扩大做准备</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公司拟招聘经验丰富的技术服务人员，并不断组织人员到同行优秀企业学习，加大产品服务及后期作业工作能力的提升，不断提高我企业的行业竞争能力，规避相关技术风险</w:t>
                  </w:r>
                </w:p>
              </w:tc>
              <w:tc>
                <w:tcPr>
                  <w:tcW w:w="3965" w:type="dxa"/>
                </w:tcPr>
                <w:p>
                  <w:pPr>
                    <w:shd w:val="clear" w:color="auto" w:fill="C7DAF1" w:themeFill="text2" w:themeFillTint="32"/>
                  </w:pPr>
                  <w:r>
                    <w:t>定期进行人员培训及技术考核</w:t>
                  </w:r>
                  <w:r>
                    <w:rPr>
                      <w:rFonts w:hint="eastAsia"/>
                    </w:rPr>
                    <w:t>，</w:t>
                  </w:r>
                  <w:r>
                    <w:t>公司做到公平公正的政策</w:t>
                  </w:r>
                  <w:r>
                    <w:rPr>
                      <w:rFonts w:hint="eastAsia"/>
                    </w:rPr>
                    <w:t>，</w:t>
                  </w:r>
                  <w:r>
                    <w:t>引进适者生存的模式</w:t>
                  </w:r>
                  <w:r>
                    <w:rPr>
                      <w:rFonts w:hint="eastAsia"/>
                    </w:rPr>
                    <w:t>，</w:t>
                  </w:r>
                  <w:r>
                    <w:t>对于不适宜的人员先进行调岗</w:t>
                  </w:r>
                  <w:r>
                    <w:rPr>
                      <w:rFonts w:hint="eastAsia"/>
                    </w:rPr>
                    <w:t>，</w:t>
                  </w:r>
                  <w:r>
                    <w:t>如不能满足要求</w:t>
                  </w:r>
                  <w:r>
                    <w:rPr>
                      <w:rFonts w:hint="eastAsia"/>
                    </w:rPr>
                    <w:t>，</w:t>
                  </w:r>
                  <w:r>
                    <w:t>再进行淘汰</w:t>
                  </w:r>
                  <w:r>
                    <w:rPr>
                      <w:rFonts w:hint="eastAsia"/>
                    </w:rPr>
                    <w:t>。</w:t>
                  </w:r>
                </w:p>
                <w:p>
                  <w:pPr>
                    <w:shd w:val="clear" w:color="auto" w:fill="C7DAF1" w:themeFill="text2" w:themeFillTint="32"/>
                  </w:pP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1337"/>
              <w:gridCol w:w="315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before="40"/>
                    <w:jc w:val="left"/>
                    <w:rPr>
                      <w:color w:val="000000"/>
                      <w:szCs w:val="18"/>
                    </w:rPr>
                  </w:pPr>
                  <w:r>
                    <w:rPr>
                      <w:rFonts w:hint="eastAsia"/>
                      <w:color w:val="000000"/>
                      <w:szCs w:val="18"/>
                    </w:rPr>
                    <w:t>目标</w:t>
                  </w:r>
                </w:p>
              </w:tc>
              <w:tc>
                <w:tcPr>
                  <w:tcW w:w="1337" w:type="dxa"/>
                </w:tcPr>
                <w:p>
                  <w:pPr>
                    <w:widowControl/>
                    <w:spacing w:before="40"/>
                    <w:jc w:val="left"/>
                    <w:rPr>
                      <w:color w:val="000000"/>
                      <w:szCs w:val="18"/>
                    </w:rPr>
                  </w:pPr>
                  <w:r>
                    <w:rPr>
                      <w:rFonts w:hint="eastAsia"/>
                      <w:color w:val="000000"/>
                      <w:szCs w:val="18"/>
                    </w:rPr>
                    <w:t>考核频次</w:t>
                  </w:r>
                </w:p>
              </w:tc>
              <w:tc>
                <w:tcPr>
                  <w:tcW w:w="3154" w:type="dxa"/>
                </w:tcPr>
                <w:p>
                  <w:pPr>
                    <w:widowControl/>
                    <w:spacing w:before="40"/>
                    <w:jc w:val="left"/>
                    <w:rPr>
                      <w:color w:val="000000"/>
                      <w:szCs w:val="18"/>
                    </w:rPr>
                  </w:pPr>
                  <w:r>
                    <w:rPr>
                      <w:rFonts w:hint="eastAsia"/>
                      <w:color w:val="000000"/>
                      <w:szCs w:val="18"/>
                    </w:rPr>
                    <w:t>计算方法</w:t>
                  </w:r>
                </w:p>
              </w:tc>
              <w:tc>
                <w:tcPr>
                  <w:tcW w:w="1705"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1-6月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26" w:type="dxa"/>
                </w:tcPr>
                <w:p>
                  <w:pPr>
                    <w:pStyle w:val="22"/>
                    <w:numPr>
                      <w:ilvl w:val="0"/>
                      <w:numId w:val="0"/>
                    </w:numPr>
                    <w:ind w:leftChars="0"/>
                    <w:jc w:val="left"/>
                    <w:rPr>
                      <w:rFonts w:hint="eastAsia"/>
                    </w:rPr>
                  </w:pPr>
                  <w:r>
                    <w:rPr>
                      <w:rFonts w:hint="eastAsia"/>
                    </w:rPr>
                    <w:t>销售产品合格率</w:t>
                  </w:r>
                  <w:r>
                    <w:rPr>
                      <w:rFonts w:hint="eastAsia"/>
                      <w:lang w:val="en-US" w:eastAsia="zh-CN"/>
                    </w:rPr>
                    <w:t>100</w:t>
                  </w:r>
                  <w:r>
                    <w:rPr>
                      <w:rFonts w:hint="eastAsia"/>
                    </w:rPr>
                    <w:t>%</w:t>
                  </w:r>
                </w:p>
              </w:tc>
              <w:tc>
                <w:tcPr>
                  <w:tcW w:w="1337" w:type="dxa"/>
                </w:tcPr>
                <w:p>
                  <w:pPr>
                    <w:widowControl/>
                    <w:spacing w:before="40"/>
                    <w:jc w:val="left"/>
                    <w:rPr>
                      <w:rFonts w:hint="eastAsia"/>
                    </w:rPr>
                  </w:pPr>
                  <w:r>
                    <w:rPr>
                      <w:rFonts w:hint="eastAsia"/>
                    </w:rPr>
                    <w:t>每</w:t>
                  </w:r>
                  <w:r>
                    <w:rPr>
                      <w:rFonts w:hint="eastAsia"/>
                      <w:lang w:val="en-US" w:eastAsia="zh-CN"/>
                    </w:rPr>
                    <w:t>季度</w:t>
                  </w:r>
                  <w:r>
                    <w:rPr>
                      <w:rFonts w:hint="eastAsia"/>
                    </w:rPr>
                    <w:t>统计</w:t>
                  </w:r>
                </w:p>
              </w:tc>
              <w:tc>
                <w:tcPr>
                  <w:tcW w:w="3154" w:type="dxa"/>
                </w:tcPr>
                <w:p>
                  <w:pPr>
                    <w:pStyle w:val="24"/>
                    <w:numPr>
                      <w:ilvl w:val="0"/>
                      <w:numId w:val="0"/>
                    </w:numPr>
                    <w:ind w:leftChars="0"/>
                    <w:jc w:val="left"/>
                    <w:rPr>
                      <w:rFonts w:hint="eastAsia"/>
                    </w:rPr>
                  </w:pPr>
                  <w:r>
                    <w:rPr>
                      <w:rFonts w:hint="eastAsia"/>
                      <w:lang w:val="en-US" w:eastAsia="zh-CN"/>
                    </w:rPr>
                    <w:t>产品合格数量</w:t>
                  </w:r>
                  <w:r>
                    <w:rPr>
                      <w:rFonts w:hint="eastAsia"/>
                    </w:rPr>
                    <w:t>÷</w:t>
                  </w:r>
                  <w:r>
                    <w:rPr>
                      <w:rFonts w:hint="eastAsia"/>
                      <w:lang w:val="en-US" w:eastAsia="zh-CN"/>
                    </w:rPr>
                    <w:t>交付总数</w:t>
                  </w:r>
                </w:p>
              </w:tc>
              <w:tc>
                <w:tcPr>
                  <w:tcW w:w="1705"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26" w:type="dxa"/>
                </w:tcPr>
                <w:p>
                  <w:pPr>
                    <w:pStyle w:val="22"/>
                    <w:numPr>
                      <w:ilvl w:val="0"/>
                      <w:numId w:val="0"/>
                    </w:numPr>
                    <w:ind w:leftChars="0"/>
                    <w:jc w:val="left"/>
                    <w:rPr>
                      <w:rFonts w:hint="eastAsia"/>
                    </w:rPr>
                  </w:pPr>
                  <w:r>
                    <w:rPr>
                      <w:rFonts w:hint="eastAsia"/>
                    </w:rPr>
                    <w:t>产品交付及时率98%</w:t>
                  </w:r>
                </w:p>
              </w:tc>
              <w:tc>
                <w:tcPr>
                  <w:tcW w:w="1337" w:type="dxa"/>
                </w:tcPr>
                <w:p>
                  <w:pPr>
                    <w:widowControl/>
                    <w:spacing w:before="40"/>
                    <w:jc w:val="left"/>
                    <w:rPr>
                      <w:rFonts w:hint="eastAsia"/>
                    </w:rPr>
                  </w:pPr>
                  <w:r>
                    <w:rPr>
                      <w:rFonts w:hint="eastAsia"/>
                    </w:rPr>
                    <w:t>每</w:t>
                  </w:r>
                  <w:r>
                    <w:rPr>
                      <w:rFonts w:hint="eastAsia"/>
                      <w:lang w:val="en-US" w:eastAsia="zh-CN"/>
                    </w:rPr>
                    <w:t>季度</w:t>
                  </w:r>
                  <w:r>
                    <w:rPr>
                      <w:rFonts w:hint="eastAsia"/>
                    </w:rPr>
                    <w:t>统计</w:t>
                  </w:r>
                </w:p>
              </w:tc>
              <w:tc>
                <w:tcPr>
                  <w:tcW w:w="3154" w:type="dxa"/>
                </w:tcPr>
                <w:p>
                  <w:pPr>
                    <w:pStyle w:val="24"/>
                    <w:numPr>
                      <w:ilvl w:val="0"/>
                      <w:numId w:val="0"/>
                    </w:numPr>
                    <w:ind w:leftChars="0"/>
                    <w:jc w:val="left"/>
                    <w:rPr>
                      <w:rFonts w:hint="eastAsia"/>
                    </w:rPr>
                  </w:pPr>
                  <w:r>
                    <w:rPr>
                      <w:rFonts w:hint="eastAsia"/>
                      <w:lang w:val="en-US" w:eastAsia="zh-CN"/>
                    </w:rPr>
                    <w:t>产品及时交付数量</w:t>
                  </w:r>
                  <w:r>
                    <w:rPr>
                      <w:rFonts w:hint="eastAsia"/>
                    </w:rPr>
                    <w:t>÷</w:t>
                  </w:r>
                  <w:r>
                    <w:rPr>
                      <w:rFonts w:hint="eastAsia"/>
                      <w:lang w:val="en-US" w:eastAsia="zh-CN"/>
                    </w:rPr>
                    <w:t>合同总数</w:t>
                  </w:r>
                </w:p>
              </w:tc>
              <w:tc>
                <w:tcPr>
                  <w:tcW w:w="1705"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26" w:type="dxa"/>
                </w:tcPr>
                <w:p>
                  <w:pPr>
                    <w:pStyle w:val="22"/>
                    <w:numPr>
                      <w:ilvl w:val="0"/>
                      <w:numId w:val="0"/>
                    </w:numPr>
                    <w:ind w:leftChars="0"/>
                    <w:jc w:val="left"/>
                    <w:rPr>
                      <w:rFonts w:hint="eastAsia"/>
                    </w:rPr>
                  </w:pPr>
                  <w:r>
                    <w:rPr>
                      <w:rFonts w:hint="eastAsia"/>
                    </w:rPr>
                    <w:t>合同评审率100%</w:t>
                  </w:r>
                </w:p>
              </w:tc>
              <w:tc>
                <w:tcPr>
                  <w:tcW w:w="1337" w:type="dxa"/>
                </w:tcPr>
                <w:p>
                  <w:pPr>
                    <w:widowControl/>
                    <w:spacing w:before="40"/>
                    <w:jc w:val="left"/>
                    <w:rPr>
                      <w:rFonts w:hint="eastAsia"/>
                    </w:rPr>
                  </w:pPr>
                  <w:r>
                    <w:rPr>
                      <w:rFonts w:hint="eastAsia"/>
                    </w:rPr>
                    <w:t>每</w:t>
                  </w:r>
                  <w:r>
                    <w:rPr>
                      <w:rFonts w:hint="eastAsia"/>
                      <w:lang w:val="en-US" w:eastAsia="zh-CN"/>
                    </w:rPr>
                    <w:t>季度</w:t>
                  </w:r>
                  <w:r>
                    <w:rPr>
                      <w:rFonts w:hint="eastAsia"/>
                    </w:rPr>
                    <w:t>统计</w:t>
                  </w:r>
                </w:p>
              </w:tc>
              <w:tc>
                <w:tcPr>
                  <w:tcW w:w="3154" w:type="dxa"/>
                </w:tcPr>
                <w:p>
                  <w:pPr>
                    <w:pStyle w:val="24"/>
                    <w:numPr>
                      <w:ilvl w:val="0"/>
                      <w:numId w:val="0"/>
                    </w:numPr>
                    <w:ind w:leftChars="0"/>
                    <w:jc w:val="left"/>
                    <w:rPr>
                      <w:rFonts w:hint="default" w:eastAsia="宋体"/>
                      <w:lang w:val="en-US" w:eastAsia="zh-CN"/>
                    </w:rPr>
                  </w:pPr>
                  <w:r>
                    <w:rPr>
                      <w:rFonts w:hint="eastAsia"/>
                      <w:lang w:val="en-US" w:eastAsia="zh-CN"/>
                    </w:rPr>
                    <w:t>签订合同数量</w:t>
                  </w:r>
                  <w:r>
                    <w:rPr>
                      <w:rFonts w:hint="eastAsia"/>
                    </w:rPr>
                    <w:t>÷</w:t>
                  </w:r>
                  <w:r>
                    <w:rPr>
                      <w:rFonts w:hint="eastAsia"/>
                      <w:lang w:val="en-US" w:eastAsia="zh-CN"/>
                    </w:rPr>
                    <w:t>合同总数</w:t>
                  </w:r>
                </w:p>
              </w:tc>
              <w:tc>
                <w:tcPr>
                  <w:tcW w:w="1705"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26" w:type="dxa"/>
                </w:tcPr>
                <w:p>
                  <w:pPr>
                    <w:pStyle w:val="22"/>
                    <w:numPr>
                      <w:ilvl w:val="0"/>
                      <w:numId w:val="0"/>
                    </w:numPr>
                    <w:ind w:leftChars="0"/>
                    <w:jc w:val="left"/>
                    <w:rPr>
                      <w:rFonts w:hint="eastAsia"/>
                    </w:rPr>
                  </w:pPr>
                  <w:r>
                    <w:rPr>
                      <w:rFonts w:hint="eastAsia"/>
                    </w:rPr>
                    <w:t>顾客满意率98%以上</w:t>
                  </w:r>
                </w:p>
              </w:tc>
              <w:tc>
                <w:tcPr>
                  <w:tcW w:w="1337" w:type="dxa"/>
                </w:tcPr>
                <w:p>
                  <w:pPr>
                    <w:widowControl/>
                    <w:spacing w:before="40"/>
                    <w:jc w:val="left"/>
                    <w:rPr>
                      <w:rFonts w:hint="eastAsia"/>
                    </w:rPr>
                  </w:pPr>
                  <w:r>
                    <w:rPr>
                      <w:rFonts w:hint="eastAsia"/>
                    </w:rPr>
                    <w:t>每</w:t>
                  </w:r>
                  <w:r>
                    <w:rPr>
                      <w:rFonts w:hint="eastAsia"/>
                      <w:lang w:val="en-US" w:eastAsia="zh-CN"/>
                    </w:rPr>
                    <w:t>季度</w:t>
                  </w:r>
                  <w:r>
                    <w:rPr>
                      <w:rFonts w:hint="eastAsia"/>
                    </w:rPr>
                    <w:t>统计</w:t>
                  </w:r>
                </w:p>
              </w:tc>
              <w:tc>
                <w:tcPr>
                  <w:tcW w:w="3154" w:type="dxa"/>
                </w:tcPr>
                <w:p>
                  <w:pPr>
                    <w:pStyle w:val="24"/>
                    <w:numPr>
                      <w:ilvl w:val="0"/>
                      <w:numId w:val="0"/>
                    </w:numPr>
                    <w:ind w:leftChars="0"/>
                    <w:jc w:val="left"/>
                    <w:rPr>
                      <w:rFonts w:hint="eastAsia"/>
                    </w:rPr>
                  </w:pPr>
                  <w:r>
                    <w:rPr>
                      <w:rFonts w:hint="eastAsia"/>
                    </w:rPr>
                    <w:t>顾客综合满意度=每年由业务对客户抽查调查后取平均值</w:t>
                  </w:r>
                </w:p>
              </w:tc>
              <w:tc>
                <w:tcPr>
                  <w:tcW w:w="1705"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98</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110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办公室、电脑、打印机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sym w:font="Wingdings 2" w:char="0052"/>
            </w:r>
            <w:r>
              <w:rPr>
                <w:rFonts w:hint="eastAsia"/>
              </w:rPr>
              <w:t>其他</w:t>
            </w:r>
            <w:r>
              <w:rPr>
                <w:rFonts w:hint="eastAsia"/>
                <w:lang w:val="en-US" w:eastAsia="zh-CN"/>
              </w:rPr>
              <w:t>-客户满意度调查表</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sym w:font="Wingdings 2" w:char="0052"/>
            </w:r>
            <w:r>
              <w:rPr>
                <w:rFonts w:hint="eastAsia"/>
              </w:rPr>
              <w:t xml:space="preserve">学术交流信息  </w:t>
            </w:r>
            <w:r>
              <w:rPr>
                <w:rFonts w:hint="eastAsia" w:ascii="Wingdings" w:hAnsi="Wingdings"/>
                <w:lang w:eastAsia="zh-CN"/>
              </w:rPr>
              <w:sym w:font="Wingdings 2" w:char="0052"/>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满足客户要求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 xml:space="preserve">组织在适当阶段实施策划的安排，以验证产品和服务的要求已得到满足。 </w:t>
            </w:r>
            <w:r>
              <w:rPr>
                <w:rFonts w:hint="eastAsia"/>
                <w:lang w:val="en-US" w:eastAsia="zh-CN"/>
              </w:rPr>
              <w:t>无</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11"/>
      </w:pPr>
      <w:r>
        <w:br w:type="page"/>
      </w:r>
    </w:p>
    <w:p>
      <w:pPr>
        <w:pStyle w:val="11"/>
      </w:pPr>
    </w:p>
    <w:p>
      <w:pPr>
        <w:pStyle w:val="11"/>
      </w:pPr>
    </w:p>
    <w:p>
      <w:pPr>
        <w:shd w:val="clear" w:color="auto" w:fill="EBF1DE" w:themeFill="accent3" w:themeFillTint="32"/>
      </w:pP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□工艺 □设备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□节约资源 □达标排放 </w:t>
            </w:r>
            <w:r>
              <w:rPr>
                <w:rFonts w:hint="eastAsia"/>
              </w:rPr>
              <w:sym w:font="Wingdings 2" w:char="0052"/>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守法诚信追求质量，预防污染保护环境；关爱员工健康安全，持续改进追求卓越</w:t>
            </w:r>
            <w:r>
              <w:rPr>
                <w:rFonts w:hint="eastAsia"/>
                <w:color w:val="000000"/>
                <w:szCs w:val="18"/>
                <w:u w:val="single"/>
                <w:lang w:eastAsia="zh-CN"/>
              </w:rPr>
              <w:t>；</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主要的风险或机遇描述</w:t>
                  </w:r>
                </w:p>
              </w:tc>
              <w:tc>
                <w:tcPr>
                  <w:tcW w:w="3965" w:type="dxa"/>
                </w:tcPr>
                <w:p>
                  <w:pPr>
                    <w:shd w:val="clear" w:color="auto" w:fill="EBF1DE" w:themeFill="accent3" w:themeFillTint="32"/>
                    <w:rPr>
                      <w:rFonts w:hint="eastAsia"/>
                    </w:rPr>
                  </w:pPr>
                  <w:r>
                    <w:rPr>
                      <w:rFonts w:hint="eastAsia"/>
                    </w:rPr>
                    <w:t>应对措施</w:t>
                  </w:r>
                </w:p>
              </w:tc>
              <w:tc>
                <w:tcPr>
                  <w:tcW w:w="1717" w:type="dxa"/>
                </w:tcPr>
                <w:p>
                  <w:pPr>
                    <w:shd w:val="clear" w:color="auto" w:fill="EBF1DE" w:themeFill="accent3" w:themeFillTint="32"/>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eastAsia"/>
                    </w:rPr>
                  </w:pPr>
                  <w:r>
                    <w:rPr>
                      <w:rFonts w:hint="eastAsia"/>
                    </w:rPr>
                    <w:t>公司属于销售行业，主要客户为各企事业单位，及个体经营者、厂区，有产业和政策调整的风险较小。</w:t>
                  </w:r>
                </w:p>
              </w:tc>
              <w:tc>
                <w:tcPr>
                  <w:tcW w:w="3965" w:type="dxa"/>
                </w:tcPr>
                <w:p>
                  <w:pPr>
                    <w:shd w:val="clear" w:color="auto" w:fill="EBF1DE" w:themeFill="accent3" w:themeFillTint="32"/>
                    <w:rPr>
                      <w:rFonts w:hint="eastAsia"/>
                    </w:rPr>
                  </w:pPr>
                  <w:r>
                    <w:rPr>
                      <w:rFonts w:hint="eastAsia"/>
                    </w:rPr>
                    <w:t>但为了防止未来有可能发生改变的政策，企业拟在其它类型的工作业务扩大做准备</w:t>
                  </w:r>
                </w:p>
              </w:tc>
              <w:tc>
                <w:tcPr>
                  <w:tcW w:w="1717" w:type="dxa"/>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公司拟招聘经验丰富的技术服务人员，并不断组织人员到同行优秀企业学习，加大产品服务及后期作业工作能力的提升，不断提高我企业的行业竞争能力，规避相关技术风险</w:t>
                  </w:r>
                </w:p>
              </w:tc>
              <w:tc>
                <w:tcPr>
                  <w:tcW w:w="3965" w:type="dxa"/>
                </w:tcPr>
                <w:p>
                  <w:pPr>
                    <w:shd w:val="clear" w:color="auto" w:fill="EBF1DE" w:themeFill="accent3" w:themeFillTint="32"/>
                    <w:rPr>
                      <w:rFonts w:hint="eastAsia"/>
                    </w:rPr>
                  </w:pPr>
                  <w:r>
                    <w:rPr>
                      <w:rFonts w:hint="eastAsia"/>
                    </w:rPr>
                    <w:t>定期进行人员培训及技术考核，公司做到公平公正的政策，引进适者生存的模式，对于不适宜的人员先进行调岗，如不能满足要求，再进行淘汰。</w:t>
                  </w:r>
                </w:p>
                <w:p>
                  <w:pPr>
                    <w:shd w:val="clear" w:color="auto" w:fill="EBF1DE" w:themeFill="accent3" w:themeFillTint="32"/>
                    <w:rPr>
                      <w:rFonts w:hint="eastAsia"/>
                    </w:rPr>
                  </w:pPr>
                </w:p>
              </w:tc>
              <w:tc>
                <w:tcPr>
                  <w:tcW w:w="1717" w:type="dxa"/>
                </w:tcPr>
                <w:p>
                  <w:pPr>
                    <w:shd w:val="clear" w:color="auto" w:fill="EBF1DE" w:themeFill="accent3" w:themeFillTint="32"/>
                    <w:rPr>
                      <w:rFonts w:hint="eastAsi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□资源消耗 </w:t>
            </w:r>
            <w:r>
              <w:rPr>
                <w:rFonts w:hint="eastAsia"/>
              </w:rPr>
              <w:sym w:font="Wingdings 2" w:char="0052"/>
            </w:r>
            <w:r>
              <w:rPr>
                <w:rFonts w:hint="eastAsia"/>
              </w:rPr>
              <w:t xml:space="preserve">废水排放  □废气排放 □粉尘排放  □危废排放 □噪声排放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□消防控制  </w:t>
            </w:r>
            <w:r>
              <w:rPr>
                <w:rFonts w:hint="eastAsia"/>
              </w:rPr>
              <w:sym w:font="Wingdings 2" w:char="0052"/>
            </w:r>
            <w:r>
              <w:rPr>
                <w:rFonts w:hint="eastAsia"/>
              </w:rPr>
              <w:t>其他</w:t>
            </w:r>
            <w:r>
              <w:rPr>
                <w:rFonts w:hint="eastAsia"/>
                <w:lang w:val="en-US" w:eastAsia="zh-CN"/>
              </w:rPr>
              <w:t xml:space="preserve">  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1337"/>
              <w:gridCol w:w="315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6" w:type="dxa"/>
                </w:tcPr>
                <w:p>
                  <w:pPr>
                    <w:widowControl/>
                    <w:spacing w:before="40"/>
                    <w:jc w:val="left"/>
                    <w:rPr>
                      <w:color w:val="000000"/>
                      <w:szCs w:val="18"/>
                    </w:rPr>
                  </w:pPr>
                  <w:r>
                    <w:rPr>
                      <w:rFonts w:hint="eastAsia"/>
                      <w:color w:val="000000"/>
                      <w:szCs w:val="18"/>
                    </w:rPr>
                    <w:t>目标</w:t>
                  </w:r>
                </w:p>
              </w:tc>
              <w:tc>
                <w:tcPr>
                  <w:tcW w:w="1337" w:type="dxa"/>
                </w:tcPr>
                <w:p>
                  <w:pPr>
                    <w:widowControl/>
                    <w:spacing w:before="40"/>
                    <w:jc w:val="left"/>
                    <w:rPr>
                      <w:color w:val="000000"/>
                      <w:szCs w:val="18"/>
                    </w:rPr>
                  </w:pPr>
                  <w:r>
                    <w:rPr>
                      <w:rFonts w:hint="eastAsia"/>
                      <w:color w:val="000000"/>
                      <w:szCs w:val="18"/>
                    </w:rPr>
                    <w:t>考核频次</w:t>
                  </w:r>
                </w:p>
              </w:tc>
              <w:tc>
                <w:tcPr>
                  <w:tcW w:w="3154" w:type="dxa"/>
                </w:tcPr>
                <w:p>
                  <w:pPr>
                    <w:widowControl/>
                    <w:spacing w:before="40"/>
                    <w:jc w:val="left"/>
                    <w:rPr>
                      <w:color w:val="000000"/>
                      <w:szCs w:val="18"/>
                    </w:rPr>
                  </w:pPr>
                  <w:r>
                    <w:rPr>
                      <w:rFonts w:hint="eastAsia"/>
                      <w:color w:val="000000"/>
                      <w:szCs w:val="18"/>
                    </w:rPr>
                    <w:t>计算方法</w:t>
                  </w:r>
                </w:p>
              </w:tc>
              <w:tc>
                <w:tcPr>
                  <w:tcW w:w="1705"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1-6月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26" w:type="dxa"/>
                </w:tcPr>
                <w:p>
                  <w:pPr>
                    <w:pStyle w:val="22"/>
                    <w:numPr>
                      <w:ilvl w:val="0"/>
                      <w:numId w:val="0"/>
                    </w:numPr>
                    <w:ind w:leftChars="0"/>
                    <w:jc w:val="left"/>
                    <w:rPr>
                      <w:color w:val="000000"/>
                      <w:szCs w:val="18"/>
                      <w:highlight w:val="cyan"/>
                    </w:rPr>
                  </w:pPr>
                  <w:r>
                    <w:rPr>
                      <w:rFonts w:hint="eastAsia"/>
                    </w:rPr>
                    <w:t>固体废弃物100%分类理；</w:t>
                  </w:r>
                </w:p>
              </w:tc>
              <w:tc>
                <w:tcPr>
                  <w:tcW w:w="1337" w:type="dxa"/>
                </w:tcPr>
                <w:p>
                  <w:pPr>
                    <w:widowControl/>
                    <w:spacing w:before="40"/>
                    <w:jc w:val="left"/>
                    <w:rPr>
                      <w:color w:val="000000"/>
                      <w:szCs w:val="18"/>
                      <w:highlight w:val="cyan"/>
                    </w:rPr>
                  </w:pPr>
                  <w:r>
                    <w:rPr>
                      <w:rFonts w:hint="eastAsia"/>
                    </w:rPr>
                    <w:t>每</w:t>
                  </w:r>
                  <w:r>
                    <w:rPr>
                      <w:rFonts w:hint="eastAsia"/>
                      <w:lang w:val="en-US" w:eastAsia="zh-CN"/>
                    </w:rPr>
                    <w:t>季度</w:t>
                  </w:r>
                  <w:r>
                    <w:rPr>
                      <w:rFonts w:hint="eastAsia"/>
                    </w:rPr>
                    <w:t>统计</w:t>
                  </w:r>
                </w:p>
              </w:tc>
              <w:tc>
                <w:tcPr>
                  <w:tcW w:w="3154" w:type="dxa"/>
                </w:tcPr>
                <w:p>
                  <w:pPr>
                    <w:pStyle w:val="24"/>
                    <w:numPr>
                      <w:ilvl w:val="0"/>
                      <w:numId w:val="0"/>
                    </w:numPr>
                    <w:ind w:leftChars="0"/>
                    <w:jc w:val="left"/>
                    <w:rPr>
                      <w:color w:val="000000"/>
                      <w:szCs w:val="18"/>
                      <w:highlight w:val="cyan"/>
                    </w:rPr>
                  </w:pPr>
                  <w:r>
                    <w:rPr>
                      <w:rFonts w:hint="eastAsia"/>
                    </w:rPr>
                    <w:t>已分类固体废物÷需分类固体废物数x100%</w:t>
                  </w:r>
                </w:p>
              </w:tc>
              <w:tc>
                <w:tcPr>
                  <w:tcW w:w="1705"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before="40"/>
                    <w:jc w:val="left"/>
                    <w:rPr>
                      <w:color w:val="000000"/>
                      <w:szCs w:val="18"/>
                      <w:highlight w:val="cyan"/>
                    </w:rPr>
                  </w:pPr>
                  <w:r>
                    <w:rPr>
                      <w:rFonts w:hint="eastAsia"/>
                    </w:rPr>
                    <w:t>环境污染事故为0；</w:t>
                  </w:r>
                </w:p>
              </w:tc>
              <w:tc>
                <w:tcPr>
                  <w:tcW w:w="1337" w:type="dxa"/>
                </w:tcPr>
                <w:p>
                  <w:pPr>
                    <w:widowControl/>
                    <w:spacing w:before="40"/>
                    <w:jc w:val="left"/>
                    <w:rPr>
                      <w:color w:val="000000"/>
                      <w:szCs w:val="18"/>
                      <w:highlight w:val="cyan"/>
                    </w:rPr>
                  </w:pPr>
                  <w:r>
                    <w:rPr>
                      <w:rFonts w:hint="eastAsia"/>
                    </w:rPr>
                    <w:t>每</w:t>
                  </w:r>
                  <w:r>
                    <w:rPr>
                      <w:rFonts w:hint="eastAsia"/>
                      <w:lang w:val="en-US" w:eastAsia="zh-CN"/>
                    </w:rPr>
                    <w:t>季度</w:t>
                  </w:r>
                  <w:r>
                    <w:rPr>
                      <w:rFonts w:hint="eastAsia"/>
                    </w:rPr>
                    <w:t>统计</w:t>
                  </w:r>
                </w:p>
              </w:tc>
              <w:tc>
                <w:tcPr>
                  <w:tcW w:w="3154" w:type="dxa"/>
                </w:tcPr>
                <w:p>
                  <w:pPr>
                    <w:pStyle w:val="24"/>
                    <w:widowControl/>
                    <w:numPr>
                      <w:ilvl w:val="0"/>
                      <w:numId w:val="0"/>
                    </w:numPr>
                    <w:spacing w:before="40"/>
                    <w:ind w:leftChars="0"/>
                    <w:jc w:val="left"/>
                    <w:rPr>
                      <w:color w:val="000000"/>
                      <w:szCs w:val="18"/>
                      <w:highlight w:val="cyan"/>
                    </w:rPr>
                  </w:pPr>
                  <w:r>
                    <w:rPr>
                      <w:rFonts w:hint="eastAsia"/>
                    </w:rPr>
                    <w:t>发生次数</w:t>
                  </w:r>
                </w:p>
              </w:tc>
              <w:tc>
                <w:tcPr>
                  <w:tcW w:w="1705"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before="40"/>
                    <w:jc w:val="left"/>
                    <w:rPr>
                      <w:color w:val="000000"/>
                      <w:szCs w:val="18"/>
                      <w:highlight w:val="cyan"/>
                    </w:rPr>
                  </w:pPr>
                  <w:r>
                    <w:rPr>
                      <w:rFonts w:hint="eastAsia"/>
                    </w:rPr>
                    <w:t>杜绝火灾事故，火灾事故发生率为零</w:t>
                  </w:r>
                </w:p>
              </w:tc>
              <w:tc>
                <w:tcPr>
                  <w:tcW w:w="1337" w:type="dxa"/>
                </w:tcPr>
                <w:p>
                  <w:pPr>
                    <w:widowControl/>
                    <w:spacing w:before="40"/>
                    <w:jc w:val="left"/>
                    <w:rPr>
                      <w:color w:val="000000"/>
                      <w:szCs w:val="18"/>
                      <w:highlight w:val="cyan"/>
                    </w:rPr>
                  </w:pPr>
                  <w:r>
                    <w:rPr>
                      <w:rFonts w:hint="eastAsia"/>
                    </w:rPr>
                    <w:t>每</w:t>
                  </w:r>
                  <w:r>
                    <w:rPr>
                      <w:rFonts w:hint="eastAsia"/>
                      <w:lang w:val="en-US" w:eastAsia="zh-CN"/>
                    </w:rPr>
                    <w:t>季度</w:t>
                  </w:r>
                  <w:r>
                    <w:rPr>
                      <w:rFonts w:hint="eastAsia"/>
                    </w:rPr>
                    <w:t>统计</w:t>
                  </w:r>
                </w:p>
              </w:tc>
              <w:tc>
                <w:tcPr>
                  <w:tcW w:w="3154" w:type="dxa"/>
                </w:tcPr>
                <w:p>
                  <w:pPr>
                    <w:pStyle w:val="24"/>
                    <w:widowControl/>
                    <w:numPr>
                      <w:ilvl w:val="0"/>
                      <w:numId w:val="0"/>
                    </w:numPr>
                    <w:spacing w:before="40"/>
                    <w:ind w:leftChars="0"/>
                    <w:jc w:val="left"/>
                    <w:rPr>
                      <w:color w:val="000000"/>
                      <w:szCs w:val="18"/>
                      <w:highlight w:val="cyan"/>
                    </w:rPr>
                  </w:pPr>
                  <w:r>
                    <w:rPr>
                      <w:rFonts w:hint="eastAsia"/>
                    </w:rPr>
                    <w:t>发生次数</w:t>
                  </w:r>
                </w:p>
              </w:tc>
              <w:tc>
                <w:tcPr>
                  <w:tcW w:w="1705"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A3"/>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sym w:font="Wingdings 2" w:char="00A3"/>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110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集中回收，交</w:t>
                  </w:r>
                  <w:r>
                    <w:rPr>
                      <w:rFonts w:hint="eastAsia"/>
                      <w:lang w:val="en-US" w:eastAsia="zh-CN"/>
                    </w:rPr>
                    <w:t>物业</w:t>
                  </w:r>
                  <w:r>
                    <w:rPr>
                      <w:rFonts w:hint="eastAsia"/>
                    </w:rPr>
                    <w:t>统一处理</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ascii="宋体" w:hAnsi="宋体"/>
                      <w:szCs w:val="24"/>
                    </w:rPr>
                    <w:t>消防器材定期检查</w:t>
                  </w:r>
                  <w:r>
                    <w:rPr>
                      <w:rFonts w:hint="eastAsia" w:ascii="宋体" w:hAnsi="宋体"/>
                      <w:szCs w:val="24"/>
                      <w:lang w:eastAsia="zh-CN"/>
                    </w:rPr>
                    <w:t>，</w:t>
                  </w:r>
                  <w:r>
                    <w:rPr>
                      <w:rFonts w:hint="eastAsia" w:ascii="宋体" w:hAnsi="宋体"/>
                      <w:szCs w:val="24"/>
                      <w:lang w:val="en-US" w:eastAsia="zh-CN"/>
                    </w:rPr>
                    <w:t>制定应急预案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sym w:font="Wingdings 2" w:char="0052"/>
            </w:r>
            <w:r>
              <w:rPr>
                <w:rFonts w:hint="eastAsia"/>
              </w:rPr>
              <w:t>其他</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14</w:t>
            </w:r>
            <w:r>
              <w:rPr>
                <w:rFonts w:hint="eastAsia"/>
              </w:rPr>
              <w:t>日进行了</w:t>
            </w:r>
            <w:r>
              <w:rPr>
                <w:rFonts w:hint="eastAsia"/>
                <w:u w:val="single"/>
              </w:rPr>
              <w:t xml:space="preserve">    </w:t>
            </w:r>
            <w:r>
              <w:rPr>
                <w:rFonts w:hint="eastAsia"/>
                <w:u w:val="single"/>
                <w:lang w:val="en-US" w:eastAsia="zh-CN"/>
              </w:rPr>
              <w:t>火灾消防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□工艺 □设备 </w:t>
                  </w:r>
                  <w:r>
                    <w:rPr>
                      <w:rFonts w:hint="eastAsia"/>
                    </w:rPr>
                    <w:sym w:font="Wingdings 2" w:char="0052"/>
                  </w:r>
                  <w:r>
                    <w:rPr>
                      <w:rFonts w:hint="eastAsia"/>
                    </w:rPr>
                    <w:t xml:space="preserve">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w:t>
            </w:r>
            <w:r>
              <w:rPr>
                <w:rFonts w:hint="eastAsia"/>
                <w:color w:val="000000"/>
                <w:szCs w:val="18"/>
                <w:u w:val="single"/>
                <w:lang w:eastAsia="zh-CN"/>
              </w:rPr>
              <w:t>守法诚信追求质量，预防污染保护环境；关爱员工健康安全，持续改进追求卓越。</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员工代表是——于文娟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主要的风险或机遇描述</w:t>
                  </w:r>
                </w:p>
              </w:tc>
              <w:tc>
                <w:tcPr>
                  <w:tcW w:w="3965" w:type="dxa"/>
                </w:tcPr>
                <w:p>
                  <w:pPr>
                    <w:rPr>
                      <w:rFonts w:hint="eastAsia"/>
                    </w:rPr>
                  </w:pPr>
                  <w:r>
                    <w:rPr>
                      <w:rFonts w:hint="eastAsia"/>
                    </w:rPr>
                    <w:t>应对措施</w:t>
                  </w:r>
                </w:p>
              </w:tc>
              <w:tc>
                <w:tcPr>
                  <w:tcW w:w="1717" w:type="dxa"/>
                </w:tcPr>
                <w:p>
                  <w:pPr>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rPr>
                  </w:pPr>
                  <w:r>
                    <w:rPr>
                      <w:rFonts w:hint="eastAsia"/>
                    </w:rPr>
                    <w:t>公司属于销售行业，主要客户为各企事业单位，及个体经营者、厂区，有产业和政策调整的风险较小。</w:t>
                  </w:r>
                </w:p>
              </w:tc>
              <w:tc>
                <w:tcPr>
                  <w:tcW w:w="3965" w:type="dxa"/>
                </w:tcPr>
                <w:p>
                  <w:pPr>
                    <w:rPr>
                      <w:rFonts w:hint="eastAsia"/>
                    </w:rPr>
                  </w:pPr>
                  <w:r>
                    <w:rPr>
                      <w:rFonts w:hint="eastAsia"/>
                    </w:rPr>
                    <w:t>但为了防止未来有可能发生改变的政策，企业拟在其它类型的工作业务扩大做准备</w:t>
                  </w:r>
                </w:p>
              </w:tc>
              <w:tc>
                <w:tcPr>
                  <w:tcW w:w="1717"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公司拟招聘经验丰富的技术服务人员，并不断组织人员到同行优秀企业学习，加大产品服务及后期作业工作能力的提升，不断提高我企业的行业竞争能力，规避相关技术风险</w:t>
                  </w:r>
                </w:p>
              </w:tc>
              <w:tc>
                <w:tcPr>
                  <w:tcW w:w="3965" w:type="dxa"/>
                </w:tcPr>
                <w:p>
                  <w:pPr>
                    <w:rPr>
                      <w:rFonts w:hint="eastAsia"/>
                    </w:rPr>
                  </w:pPr>
                  <w:r>
                    <w:rPr>
                      <w:rFonts w:hint="eastAsia"/>
                    </w:rPr>
                    <w:t>定期进行人员培训及技术考核，公司做到公平公正的政策，引进适者生存的模式，对于不适宜的人员先进行调岗，如不能满足要求，再进行淘汰。</w:t>
                  </w:r>
                </w:p>
                <w:p>
                  <w:pPr>
                    <w:rPr>
                      <w:rFonts w:hint="eastAsia"/>
                    </w:rPr>
                  </w:pPr>
                </w:p>
              </w:tc>
              <w:tc>
                <w:tcPr>
                  <w:tcW w:w="1717" w:type="dxa"/>
                </w:tcPr>
                <w:p>
                  <w:pPr>
                    <w:rPr>
                      <w:rFonts w:hint="eastAsi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rPr>
              <w:sym w:font="Wingdings 2" w:char="0052"/>
            </w:r>
            <w:r>
              <w:rPr>
                <w:rFonts w:hint="eastAsia"/>
              </w:rPr>
              <w:t xml:space="preserve">触电 □化学伤害  □噪声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3"/>
              <w:gridCol w:w="1633"/>
              <w:gridCol w:w="266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3" w:type="dxa"/>
                </w:tcPr>
                <w:p>
                  <w:pPr>
                    <w:widowControl/>
                    <w:spacing w:before="40"/>
                    <w:jc w:val="left"/>
                    <w:rPr>
                      <w:color w:val="000000"/>
                      <w:szCs w:val="18"/>
                    </w:rPr>
                  </w:pPr>
                  <w:r>
                    <w:rPr>
                      <w:rFonts w:hint="eastAsia"/>
                      <w:color w:val="000000"/>
                      <w:szCs w:val="18"/>
                    </w:rPr>
                    <w:t>目标</w:t>
                  </w:r>
                </w:p>
              </w:tc>
              <w:tc>
                <w:tcPr>
                  <w:tcW w:w="1633" w:type="dxa"/>
                </w:tcPr>
                <w:p>
                  <w:pPr>
                    <w:widowControl/>
                    <w:spacing w:before="40"/>
                    <w:jc w:val="left"/>
                    <w:rPr>
                      <w:color w:val="000000"/>
                      <w:szCs w:val="18"/>
                    </w:rPr>
                  </w:pPr>
                  <w:r>
                    <w:rPr>
                      <w:rFonts w:hint="eastAsia"/>
                      <w:color w:val="000000"/>
                      <w:szCs w:val="18"/>
                    </w:rPr>
                    <w:t>考核频次</w:t>
                  </w:r>
                </w:p>
              </w:tc>
              <w:tc>
                <w:tcPr>
                  <w:tcW w:w="2662" w:type="dxa"/>
                </w:tcPr>
                <w:p>
                  <w:pPr>
                    <w:widowControl/>
                    <w:spacing w:before="40"/>
                    <w:jc w:val="left"/>
                    <w:rPr>
                      <w:color w:val="000000"/>
                      <w:szCs w:val="18"/>
                    </w:rPr>
                  </w:pPr>
                  <w:r>
                    <w:rPr>
                      <w:rFonts w:hint="eastAsia"/>
                      <w:color w:val="000000"/>
                      <w:szCs w:val="18"/>
                    </w:rPr>
                    <w:t>计算方法</w:t>
                  </w:r>
                </w:p>
              </w:tc>
              <w:tc>
                <w:tcPr>
                  <w:tcW w:w="1524"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1-7月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tcPr>
                <w:p>
                  <w:pPr>
                    <w:widowControl/>
                    <w:spacing w:before="40"/>
                    <w:jc w:val="left"/>
                    <w:rPr>
                      <w:rFonts w:hint="eastAsia"/>
                    </w:rPr>
                  </w:pPr>
                  <w:r>
                    <w:rPr>
                      <w:rFonts w:hint="eastAsia"/>
                    </w:rPr>
                    <w:t>各类重伤以上事故发生率为零</w:t>
                  </w:r>
                </w:p>
              </w:tc>
              <w:tc>
                <w:tcPr>
                  <w:tcW w:w="1633" w:type="dxa"/>
                </w:tcPr>
                <w:p>
                  <w:pPr>
                    <w:widowControl/>
                    <w:spacing w:before="40"/>
                    <w:jc w:val="left"/>
                    <w:rPr>
                      <w:color w:val="000000"/>
                      <w:szCs w:val="18"/>
                      <w:highlight w:val="cyan"/>
                    </w:rPr>
                  </w:pPr>
                  <w:r>
                    <w:rPr>
                      <w:rFonts w:hint="eastAsia"/>
                    </w:rPr>
                    <w:t>每月统计</w:t>
                  </w:r>
                </w:p>
              </w:tc>
              <w:tc>
                <w:tcPr>
                  <w:tcW w:w="2662" w:type="dxa"/>
                </w:tcPr>
                <w:p>
                  <w:pPr>
                    <w:pStyle w:val="24"/>
                    <w:widowControl/>
                    <w:numPr>
                      <w:ilvl w:val="0"/>
                      <w:numId w:val="0"/>
                    </w:numPr>
                    <w:spacing w:before="40"/>
                    <w:ind w:leftChars="0"/>
                    <w:jc w:val="left"/>
                    <w:rPr>
                      <w:color w:val="000000"/>
                      <w:szCs w:val="18"/>
                      <w:highlight w:val="cyan"/>
                    </w:rPr>
                  </w:pPr>
                  <w:r>
                    <w:rPr>
                      <w:rFonts w:hint="eastAsia"/>
                    </w:rPr>
                    <w:t>发生次数</w:t>
                  </w:r>
                </w:p>
              </w:tc>
              <w:tc>
                <w:tcPr>
                  <w:tcW w:w="152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tcPr>
                <w:p>
                  <w:pPr>
                    <w:widowControl/>
                    <w:spacing w:before="40"/>
                    <w:jc w:val="left"/>
                    <w:rPr>
                      <w:color w:val="000000"/>
                      <w:szCs w:val="18"/>
                      <w:highlight w:val="cyan"/>
                    </w:rPr>
                  </w:pPr>
                  <w:r>
                    <w:rPr>
                      <w:rFonts w:hint="eastAsia"/>
                    </w:rPr>
                    <w:t>杜绝火灾事故，火灾事故发生率为零</w:t>
                  </w:r>
                </w:p>
              </w:tc>
              <w:tc>
                <w:tcPr>
                  <w:tcW w:w="1633" w:type="dxa"/>
                </w:tcPr>
                <w:p>
                  <w:pPr>
                    <w:widowControl/>
                    <w:spacing w:before="40"/>
                    <w:jc w:val="left"/>
                    <w:rPr>
                      <w:color w:val="000000"/>
                      <w:szCs w:val="18"/>
                      <w:highlight w:val="cyan"/>
                    </w:rPr>
                  </w:pPr>
                  <w:r>
                    <w:rPr>
                      <w:rFonts w:hint="eastAsia"/>
                    </w:rPr>
                    <w:t>每月统计</w:t>
                  </w:r>
                </w:p>
              </w:tc>
              <w:tc>
                <w:tcPr>
                  <w:tcW w:w="2662" w:type="dxa"/>
                </w:tcPr>
                <w:p>
                  <w:pPr>
                    <w:pStyle w:val="24"/>
                    <w:widowControl/>
                    <w:numPr>
                      <w:ilvl w:val="0"/>
                      <w:numId w:val="0"/>
                    </w:numPr>
                    <w:spacing w:before="40"/>
                    <w:ind w:leftChars="0"/>
                    <w:jc w:val="left"/>
                    <w:rPr>
                      <w:color w:val="000000"/>
                      <w:szCs w:val="18"/>
                      <w:highlight w:val="cyan"/>
                    </w:rPr>
                  </w:pPr>
                  <w:r>
                    <w:rPr>
                      <w:rFonts w:hint="eastAsia"/>
                    </w:rPr>
                    <w:t>发生次数</w:t>
                  </w:r>
                </w:p>
              </w:tc>
              <w:tc>
                <w:tcPr>
                  <w:tcW w:w="152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110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电脑、打印机</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sym w:font="Wingdings 2" w:char="0052"/>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r>
              <w:rPr>
                <w:rFonts w:hint="eastAsia"/>
                <w:lang w:val="en-US" w:eastAsia="zh-CN"/>
              </w:rPr>
              <w:t xml:space="preserve">   无</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
            <w:pPr>
              <w:rPr>
                <w:rFonts w:hint="default" w:eastAsia="宋体"/>
                <w:lang w:val="en-US" w:eastAsia="zh-CN"/>
              </w:rPr>
            </w:pPr>
            <w:r>
              <w:rPr>
                <w:rFonts w:hint="eastAsia"/>
              </w:rPr>
              <w:t>对国家规定持证上岗的人员资质进行了有效的管理。</w:t>
            </w:r>
            <w:r>
              <w:rPr>
                <w:rFonts w:hint="eastAsia"/>
                <w:lang w:val="en-US" w:eastAsia="zh-CN"/>
              </w:rPr>
              <w:t xml:space="preserve">  无</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sym w:font="Wingdings 2" w:char="00A3"/>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r>
                    <w:rPr>
                      <w:rFonts w:hint="eastAsia" w:ascii="宋体" w:hAnsi="宋体"/>
                      <w:szCs w:val="24"/>
                    </w:rPr>
                    <w:t>消防器材定期检查</w:t>
                  </w:r>
                  <w:r>
                    <w:rPr>
                      <w:rFonts w:hint="eastAsia" w:ascii="宋体" w:hAnsi="宋体"/>
                      <w:szCs w:val="24"/>
                      <w:lang w:eastAsia="zh-CN"/>
                    </w:rPr>
                    <w:t>，</w:t>
                  </w:r>
                  <w:r>
                    <w:rPr>
                      <w:rFonts w:hint="eastAsia" w:ascii="宋体" w:hAnsi="宋体"/>
                      <w:szCs w:val="24"/>
                      <w:lang w:val="en-US" w:eastAsia="zh-CN"/>
                    </w:rPr>
                    <w:t>制定应急预案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 xml:space="preserve">组织对生产和服务提供的有预期和非预期的更改进行必要的危险源评审和制订控制措施，以确保持续地符合法规要求。 </w:t>
            </w:r>
            <w:r>
              <w:rPr>
                <w:rFonts w:hint="eastAsia"/>
                <w:lang w:val="en-US" w:eastAsia="zh-CN"/>
              </w:rPr>
              <w:t xml:space="preserve"> 无</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14</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bookmarkStart w:id="35" w:name="_GoBack"/>
            <w:bookmarkEnd w:id="35"/>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color w:val="FF0000"/>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E066AB"/>
    <w:rsid w:val="1304134F"/>
    <w:rsid w:val="31F03162"/>
    <w:rsid w:val="53374239"/>
    <w:rsid w:val="591F4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字符"/>
    <w:basedOn w:val="9"/>
    <w:link w:val="2"/>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_Style 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2021-09-10T16:49:52Z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